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AA887E">
      <w:pPr>
        <w:overflowPunct w:val="0"/>
        <w:rPr>
          <w:rFonts w:ascii="宋体" w:hAnsi="宋体" w:eastAsia="宋体" w:cs="宋体"/>
          <w:color w:val="auto"/>
          <w:sz w:val="44"/>
          <w:szCs w:val="44"/>
          <w:highlight w:val="none"/>
        </w:rPr>
      </w:pPr>
      <w:bookmarkStart w:id="13" w:name="_GoBack"/>
      <w:bookmarkEnd w:id="13"/>
    </w:p>
    <w:p w14:paraId="255E0FBE">
      <w:pPr>
        <w:overflowPunct w:val="0"/>
        <w:spacing w:line="360" w:lineRule="auto"/>
        <w:jc w:val="center"/>
        <w:rPr>
          <w:rFonts w:ascii="宋体" w:hAnsi="宋体" w:eastAsia="宋体" w:cs="宋体"/>
          <w:b/>
          <w:color w:val="auto"/>
          <w:sz w:val="48"/>
          <w:szCs w:val="48"/>
          <w:highlight w:val="none"/>
        </w:rPr>
      </w:pPr>
    </w:p>
    <w:p w14:paraId="1D329724">
      <w:pPr>
        <w:overflowPunct w:val="0"/>
        <w:spacing w:line="360" w:lineRule="auto"/>
        <w:jc w:val="center"/>
        <w:rPr>
          <w:rFonts w:hint="eastAsia" w:ascii="宋体" w:hAnsi="宋体" w:eastAsia="宋体" w:cs="宋体"/>
          <w:b/>
          <w:bCs/>
          <w:color w:val="auto"/>
          <w:spacing w:val="30"/>
          <w:w w:val="90"/>
          <w:sz w:val="52"/>
          <w:szCs w:val="52"/>
          <w:highlight w:val="none"/>
          <w:lang w:eastAsia="zh-CN"/>
        </w:rPr>
      </w:pPr>
      <w:r>
        <w:rPr>
          <w:rFonts w:hint="eastAsia" w:ascii="宋体" w:hAnsi="宋体" w:eastAsia="宋体" w:cs="宋体"/>
          <w:b/>
          <w:bCs/>
          <w:color w:val="auto"/>
          <w:spacing w:val="30"/>
          <w:w w:val="90"/>
          <w:sz w:val="52"/>
          <w:szCs w:val="52"/>
          <w:highlight w:val="none"/>
          <w:lang w:eastAsia="zh-CN"/>
        </w:rPr>
        <w:t>浏阳市2023年北正社区中医院等9个老旧小区配套基础设施改造项目（自来水公司宿舍东侧等三个停车场设备采购安装）（第二次）</w:t>
      </w:r>
    </w:p>
    <w:p w14:paraId="56A0177B">
      <w:pPr>
        <w:overflowPunct w:val="0"/>
        <w:spacing w:line="360" w:lineRule="auto"/>
        <w:jc w:val="center"/>
        <w:rPr>
          <w:rFonts w:ascii="宋体" w:hAnsi="宋体" w:eastAsia="宋体" w:cs="宋体"/>
          <w:b/>
          <w:bCs/>
          <w:color w:val="auto"/>
          <w:spacing w:val="30"/>
          <w:w w:val="90"/>
          <w:sz w:val="52"/>
          <w:szCs w:val="52"/>
          <w:highlight w:val="none"/>
        </w:rPr>
      </w:pPr>
    </w:p>
    <w:p w14:paraId="577CC6D5">
      <w:pPr>
        <w:overflowPunct w:val="0"/>
        <w:spacing w:line="360" w:lineRule="auto"/>
        <w:jc w:val="center"/>
        <w:rPr>
          <w:rFonts w:ascii="宋体" w:hAnsi="宋体" w:eastAsia="宋体" w:cs="宋体"/>
          <w:b/>
          <w:bCs/>
          <w:color w:val="auto"/>
          <w:spacing w:val="30"/>
          <w:w w:val="90"/>
          <w:sz w:val="52"/>
          <w:szCs w:val="52"/>
          <w:highlight w:val="none"/>
        </w:rPr>
      </w:pPr>
      <w:r>
        <w:rPr>
          <w:rFonts w:hint="eastAsia" w:ascii="宋体" w:hAnsi="宋体" w:eastAsia="宋体" w:cs="宋体"/>
          <w:b/>
          <w:bCs/>
          <w:color w:val="auto"/>
          <w:spacing w:val="30"/>
          <w:w w:val="90"/>
          <w:sz w:val="96"/>
          <w:szCs w:val="96"/>
          <w:highlight w:val="none"/>
        </w:rPr>
        <w:t>招  标 文 件</w:t>
      </w:r>
    </w:p>
    <w:p w14:paraId="3C6311CA">
      <w:pPr>
        <w:overflowPunct w:val="0"/>
        <w:jc w:val="center"/>
        <w:rPr>
          <w:rFonts w:ascii="宋体" w:hAnsi="宋体" w:eastAsia="宋体" w:cs="宋体"/>
          <w:b/>
          <w:color w:val="auto"/>
          <w:sz w:val="28"/>
          <w:szCs w:val="28"/>
          <w:highlight w:val="none"/>
        </w:rPr>
      </w:pPr>
    </w:p>
    <w:p w14:paraId="6A516618">
      <w:pPr>
        <w:overflowPunct w:val="0"/>
        <w:jc w:val="center"/>
        <w:rPr>
          <w:rFonts w:ascii="宋体" w:hAnsi="宋体" w:eastAsia="宋体" w:cs="宋体"/>
          <w:color w:val="auto"/>
          <w:sz w:val="44"/>
          <w:szCs w:val="44"/>
          <w:highlight w:val="none"/>
        </w:rPr>
      </w:pPr>
    </w:p>
    <w:p w14:paraId="3FC8096D">
      <w:pPr>
        <w:overflowPunct w:val="0"/>
        <w:jc w:val="center"/>
        <w:rPr>
          <w:rFonts w:ascii="宋体" w:hAnsi="宋体" w:eastAsia="宋体" w:cs="宋体"/>
          <w:color w:val="auto"/>
          <w:sz w:val="44"/>
          <w:szCs w:val="44"/>
          <w:highlight w:val="none"/>
        </w:rPr>
      </w:pPr>
    </w:p>
    <w:p w14:paraId="758576C9">
      <w:pPr>
        <w:overflowPunct w:val="0"/>
        <w:rPr>
          <w:rFonts w:ascii="宋体" w:hAnsi="宋体" w:eastAsia="宋体" w:cs="宋体"/>
          <w:color w:val="auto"/>
          <w:sz w:val="32"/>
          <w:highlight w:val="none"/>
        </w:rPr>
      </w:pPr>
    </w:p>
    <w:p w14:paraId="75B7D625">
      <w:pPr>
        <w:overflowPunct w:val="0"/>
        <w:ind w:firstLine="420"/>
        <w:rPr>
          <w:rFonts w:ascii="宋体" w:hAnsi="宋体" w:eastAsia="宋体" w:cs="宋体"/>
          <w:color w:val="auto"/>
          <w:sz w:val="32"/>
          <w:highlight w:val="none"/>
        </w:rPr>
      </w:pPr>
    </w:p>
    <w:p w14:paraId="3EC00019">
      <w:pPr>
        <w:overflowPunct w:val="0"/>
        <w:rPr>
          <w:rFonts w:ascii="宋体" w:hAnsi="宋体" w:eastAsia="宋体" w:cs="宋体"/>
          <w:color w:val="auto"/>
          <w:sz w:val="32"/>
          <w:highlight w:val="none"/>
        </w:rPr>
      </w:pPr>
    </w:p>
    <w:p w14:paraId="7F29099E">
      <w:pPr>
        <w:overflowPunct w:val="0"/>
        <w:spacing w:line="1100" w:lineRule="exact"/>
        <w:ind w:firstLine="1680" w:firstLineChars="6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招 标 人：</w:t>
      </w:r>
      <w:r>
        <w:rPr>
          <w:rFonts w:hint="eastAsia" w:ascii="宋体" w:hAnsi="宋体" w:eastAsia="宋体" w:cs="宋体"/>
          <w:color w:val="auto"/>
          <w:sz w:val="28"/>
          <w:szCs w:val="28"/>
          <w:highlight w:val="none"/>
          <w:lang w:eastAsia="zh-CN"/>
        </w:rPr>
        <w:t>浏阳市水利建设投资有限公司</w:t>
      </w:r>
    </w:p>
    <w:p w14:paraId="78FCBD53">
      <w:pPr>
        <w:overflowPunct w:val="0"/>
        <w:spacing w:line="360" w:lineRule="auto"/>
        <w:ind w:firstLine="1680" w:firstLineChars="600"/>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代理机构：长沙东睿工程咨询有限公司</w:t>
      </w:r>
    </w:p>
    <w:p w14:paraId="63C84E18">
      <w:pPr>
        <w:spacing w:line="640" w:lineRule="exact"/>
        <w:jc w:val="center"/>
        <w:rPr>
          <w:rFonts w:ascii="宋体" w:hAnsi="宋体" w:eastAsia="宋体" w:cs="宋体"/>
          <w:bCs/>
          <w:color w:val="auto"/>
          <w:sz w:val="36"/>
          <w:szCs w:val="36"/>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40" w:right="1531" w:bottom="1440" w:left="1531" w:header="851" w:footer="992" w:gutter="0"/>
          <w:pgNumType w:start="0"/>
          <w:cols w:space="720" w:num="1"/>
          <w:titlePg/>
          <w:docGrid w:type="lines" w:linePitch="435" w:charSpace="0"/>
        </w:sectPr>
      </w:pPr>
      <w:r>
        <w:rPr>
          <w:rFonts w:hint="eastAsia" w:ascii="宋体" w:hAnsi="宋体" w:eastAsia="宋体" w:cs="宋体"/>
          <w:color w:val="auto"/>
          <w:sz w:val="28"/>
          <w:szCs w:val="28"/>
          <w:highlight w:val="none"/>
        </w:rPr>
        <w:t>二○二五年</w:t>
      </w:r>
      <w:r>
        <w:rPr>
          <w:rFonts w:hint="eastAsia" w:ascii="宋体" w:hAnsi="宋体" w:eastAsia="宋体" w:cs="宋体"/>
          <w:color w:val="auto"/>
          <w:sz w:val="28"/>
          <w:szCs w:val="28"/>
          <w:highlight w:val="none"/>
          <w:lang w:eastAsia="zh-CN"/>
        </w:rPr>
        <w:t>八</w:t>
      </w:r>
      <w:r>
        <w:rPr>
          <w:rFonts w:hint="eastAsia" w:ascii="宋体" w:hAnsi="宋体" w:eastAsia="宋体" w:cs="宋体"/>
          <w:color w:val="auto"/>
          <w:sz w:val="28"/>
          <w:szCs w:val="28"/>
          <w:highlight w:val="none"/>
        </w:rPr>
        <w:t>月</w:t>
      </w:r>
    </w:p>
    <w:p w14:paraId="75BF2624">
      <w:pPr>
        <w:spacing w:line="360" w:lineRule="auto"/>
        <w:jc w:val="center"/>
        <w:rPr>
          <w:rFonts w:ascii="宋体" w:hAnsi="宋体" w:eastAsia="宋体" w:cs="宋体"/>
          <w:b/>
          <w:color w:val="auto"/>
          <w:sz w:val="36"/>
          <w:szCs w:val="36"/>
          <w:highlight w:val="none"/>
        </w:rPr>
      </w:pPr>
      <w:bookmarkStart w:id="0" w:name="OLE_LINK5"/>
      <w:r>
        <w:rPr>
          <w:rFonts w:hint="eastAsia" w:ascii="宋体" w:hAnsi="宋体" w:eastAsia="宋体" w:cs="宋体"/>
          <w:b/>
          <w:color w:val="auto"/>
          <w:sz w:val="36"/>
          <w:szCs w:val="36"/>
          <w:highlight w:val="none"/>
          <w:lang w:eastAsia="zh-CN"/>
        </w:rPr>
        <w:t>浏阳市2023年北正社区中医院等9个老旧小区配套基础设施改造项目（自来水公司宿舍东侧等三个停车场设备采购安装）（第二次）</w:t>
      </w:r>
      <w:r>
        <w:rPr>
          <w:rFonts w:hint="eastAsia" w:ascii="宋体" w:hAnsi="宋体" w:eastAsia="宋体" w:cs="宋体"/>
          <w:b/>
          <w:color w:val="auto"/>
          <w:sz w:val="36"/>
          <w:szCs w:val="36"/>
          <w:highlight w:val="none"/>
        </w:rPr>
        <w:t>招标公告</w:t>
      </w:r>
    </w:p>
    <w:p w14:paraId="0AC524F5">
      <w:pPr>
        <w:keepNext w:val="0"/>
        <w:keepLines w:val="0"/>
        <w:pageBreakBefore w:val="0"/>
        <w:widowControl/>
        <w:numPr>
          <w:ilvl w:val="0"/>
          <w:numId w:val="1"/>
        </w:numPr>
        <w:shd w:val="clear" w:color="auto" w:fill="FFFFFF"/>
        <w:kinsoku/>
        <w:wordWrap/>
        <w:overflowPunct/>
        <w:topLinePunct w:val="0"/>
        <w:autoSpaceDE/>
        <w:autoSpaceDN/>
        <w:bidi w:val="0"/>
        <w:snapToGrid/>
        <w:spacing w:line="420" w:lineRule="exact"/>
        <w:ind w:firstLine="482" w:firstLineChars="200"/>
        <w:jc w:val="left"/>
        <w:rPr>
          <w:rFonts w:ascii="宋体" w:hAnsi="宋体" w:eastAsia="宋体" w:cs="宋体"/>
          <w:b/>
          <w:bCs/>
          <w:color w:val="auto"/>
          <w:sz w:val="24"/>
          <w:highlight w:val="none"/>
        </w:rPr>
      </w:pPr>
      <w:r>
        <w:rPr>
          <w:rFonts w:hint="eastAsia" w:ascii="宋体" w:hAnsi="宋体" w:eastAsia="宋体" w:cs="宋体"/>
          <w:b/>
          <w:bCs/>
          <w:color w:val="auto"/>
          <w:sz w:val="24"/>
          <w:highlight w:val="none"/>
        </w:rPr>
        <w:t>采购项目名称：</w:t>
      </w:r>
      <w:bookmarkStart w:id="1" w:name="OLE_LINK3"/>
      <w:r>
        <w:rPr>
          <w:rFonts w:hint="eastAsia" w:ascii="宋体" w:hAnsi="宋体" w:eastAsia="宋体" w:cs="宋体"/>
          <w:color w:val="auto"/>
          <w:sz w:val="24"/>
          <w:highlight w:val="none"/>
          <w:lang w:eastAsia="zh-CN"/>
        </w:rPr>
        <w:t>浏阳市2023年北正社区中医院等9个老旧小区配套基础设施改造项目（自来水公司宿舍东侧等三个停车场设备采购安装）（第二次）</w:t>
      </w:r>
    </w:p>
    <w:p w14:paraId="63A6AB0C">
      <w:pPr>
        <w:keepNext w:val="0"/>
        <w:keepLines w:val="0"/>
        <w:pageBreakBefore w:val="0"/>
        <w:widowControl/>
        <w:numPr>
          <w:ilvl w:val="0"/>
          <w:numId w:val="1"/>
        </w:numPr>
        <w:shd w:val="clear" w:color="auto" w:fill="FFFFFF"/>
        <w:kinsoku/>
        <w:wordWrap/>
        <w:overflowPunct/>
        <w:topLinePunct w:val="0"/>
        <w:autoSpaceDE/>
        <w:autoSpaceDN/>
        <w:bidi w:val="0"/>
        <w:snapToGrid/>
        <w:spacing w:line="420" w:lineRule="exact"/>
        <w:ind w:firstLine="482" w:firstLineChars="200"/>
        <w:jc w:val="left"/>
        <w:rPr>
          <w:rFonts w:ascii="宋体" w:hAnsi="宋体" w:eastAsia="宋体" w:cs="宋体"/>
          <w:b/>
          <w:bCs/>
          <w:color w:val="auto"/>
          <w:sz w:val="24"/>
          <w:highlight w:val="none"/>
        </w:rPr>
      </w:pPr>
      <w:r>
        <w:rPr>
          <w:rFonts w:hint="eastAsia" w:ascii="宋体" w:hAnsi="宋体" w:eastAsia="宋体" w:cs="宋体"/>
          <w:b/>
          <w:bCs/>
          <w:color w:val="auto"/>
          <w:sz w:val="24"/>
          <w:highlight w:val="none"/>
        </w:rPr>
        <w:t>采购上限价及内容：</w:t>
      </w:r>
      <w:bookmarkStart w:id="2" w:name="OLE_LINK1"/>
    </w:p>
    <w:p w14:paraId="458CE9D1">
      <w:pPr>
        <w:keepNext w:val="0"/>
        <w:keepLines w:val="0"/>
        <w:pageBreakBefore w:val="0"/>
        <w:widowControl/>
        <w:shd w:val="clear" w:color="auto" w:fill="FFFFFF"/>
        <w:kinsoku/>
        <w:wordWrap/>
        <w:overflowPunct/>
        <w:topLinePunct w:val="0"/>
        <w:autoSpaceDE/>
        <w:autoSpaceDN/>
        <w:bidi w:val="0"/>
        <w:snapToGrid/>
        <w:spacing w:line="420" w:lineRule="exact"/>
        <w:ind w:left="420" w:leftChars="200"/>
        <w:jc w:val="left"/>
        <w:rPr>
          <w:rFonts w:ascii="宋体" w:hAnsi="宋体" w:eastAsia="宋体" w:cs="宋体"/>
          <w:color w:val="auto"/>
          <w:sz w:val="24"/>
          <w:highlight w:val="none"/>
        </w:rPr>
      </w:pPr>
      <w:r>
        <w:rPr>
          <w:rFonts w:hint="eastAsia" w:ascii="宋体" w:hAnsi="宋体" w:eastAsia="宋体" w:cs="宋体"/>
          <w:b/>
          <w:bCs/>
          <w:color w:val="auto"/>
          <w:sz w:val="24"/>
          <w:highlight w:val="none"/>
        </w:rPr>
        <w:t>2.1</w:t>
      </w:r>
      <w:r>
        <w:rPr>
          <w:rFonts w:hint="eastAsia" w:ascii="宋体" w:hAnsi="宋体" w:eastAsia="宋体" w:cs="宋体"/>
          <w:b/>
          <w:bCs/>
          <w:color w:val="auto"/>
          <w:spacing w:val="-2"/>
          <w:sz w:val="24"/>
          <w:highlight w:val="none"/>
        </w:rPr>
        <w:t>采购上限价</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286420.30</w:t>
      </w:r>
      <w:r>
        <w:rPr>
          <w:rFonts w:hint="eastAsia" w:ascii="宋体" w:hAnsi="宋体" w:eastAsia="宋体" w:cs="宋体"/>
          <w:b w:val="0"/>
          <w:bCs w:val="0"/>
          <w:color w:val="auto"/>
          <w:sz w:val="24"/>
          <w:highlight w:val="none"/>
        </w:rPr>
        <w:t>元（</w:t>
      </w:r>
      <w:r>
        <w:rPr>
          <w:rFonts w:hint="eastAsia" w:ascii="宋体" w:hAnsi="宋体" w:eastAsia="宋体" w:cs="宋体"/>
          <w:color w:val="auto"/>
          <w:sz w:val="24"/>
          <w:highlight w:val="none"/>
        </w:rPr>
        <w:t>总价和单价均不得超采购清单价，否则作否决投标处理）。</w:t>
      </w:r>
    </w:p>
    <w:p w14:paraId="76BEBB66">
      <w:pPr>
        <w:keepNext w:val="0"/>
        <w:keepLines w:val="0"/>
        <w:pageBreakBefore w:val="0"/>
        <w:widowControl/>
        <w:shd w:val="clear" w:color="auto" w:fill="FFFFFF"/>
        <w:kinsoku/>
        <w:wordWrap/>
        <w:overflowPunct/>
        <w:topLinePunct w:val="0"/>
        <w:autoSpaceDE/>
        <w:autoSpaceDN/>
        <w:bidi w:val="0"/>
        <w:snapToGrid/>
        <w:spacing w:line="420" w:lineRule="exact"/>
        <w:ind w:left="420" w:leftChars="200"/>
        <w:jc w:val="left"/>
        <w:rPr>
          <w:rFonts w:ascii="宋体" w:hAnsi="宋体" w:eastAsia="宋体" w:cs="宋体"/>
          <w:color w:val="auto"/>
          <w:sz w:val="24"/>
          <w:highlight w:val="none"/>
        </w:rPr>
      </w:pPr>
      <w:r>
        <w:rPr>
          <w:rFonts w:hint="eastAsia" w:ascii="宋体" w:hAnsi="宋体" w:eastAsia="宋体" w:cs="宋体"/>
          <w:b/>
          <w:bCs/>
          <w:color w:val="auto"/>
          <w:sz w:val="24"/>
          <w:highlight w:val="none"/>
        </w:rPr>
        <w:t>2.2采购内容：</w:t>
      </w:r>
      <w:bookmarkEnd w:id="2"/>
      <w:r>
        <w:rPr>
          <w:rFonts w:hint="eastAsia" w:ascii="宋体" w:hAnsi="宋体" w:eastAsia="宋体" w:cs="宋体"/>
          <w:b w:val="0"/>
          <w:bCs w:val="0"/>
          <w:color w:val="auto"/>
          <w:sz w:val="24"/>
          <w:highlight w:val="none"/>
        </w:rPr>
        <w:t>思邈公寓东侧停车场、自来水公司宿舍东侧停车场、湘顺小区东侧停车场道闸及监控设备</w:t>
      </w:r>
      <w:r>
        <w:rPr>
          <w:rFonts w:hint="eastAsia" w:ascii="宋体" w:hAnsi="宋体" w:eastAsia="宋体" w:cs="宋体"/>
          <w:b w:val="0"/>
          <w:bCs w:val="0"/>
          <w:color w:val="auto"/>
          <w:sz w:val="24"/>
          <w:highlight w:val="none"/>
          <w:lang w:eastAsia="zh-CN"/>
        </w:rPr>
        <w:t>，</w:t>
      </w:r>
      <w:r>
        <w:rPr>
          <w:rFonts w:hint="eastAsia" w:ascii="宋体" w:hAnsi="宋体" w:eastAsia="宋体" w:cs="宋体"/>
          <w:b w:val="0"/>
          <w:bCs w:val="0"/>
          <w:color w:val="auto"/>
          <w:sz w:val="24"/>
          <w:highlight w:val="none"/>
        </w:rPr>
        <w:t>详</w:t>
      </w:r>
      <w:r>
        <w:rPr>
          <w:rFonts w:hint="eastAsia" w:ascii="宋体" w:hAnsi="宋体" w:eastAsia="宋体" w:cs="宋体"/>
          <w:color w:val="auto"/>
          <w:sz w:val="24"/>
          <w:highlight w:val="none"/>
        </w:rPr>
        <w:t>见采购清单。</w:t>
      </w:r>
    </w:p>
    <w:p w14:paraId="1DFC783E">
      <w:pPr>
        <w:keepNext w:val="0"/>
        <w:keepLines w:val="0"/>
        <w:pageBreakBefore w:val="0"/>
        <w:widowControl/>
        <w:shd w:val="clear" w:color="auto" w:fill="FFFFFF"/>
        <w:kinsoku/>
        <w:wordWrap/>
        <w:overflowPunct/>
        <w:topLinePunct w:val="0"/>
        <w:autoSpaceDE/>
        <w:autoSpaceDN/>
        <w:bidi w:val="0"/>
        <w:snapToGrid/>
        <w:spacing w:line="420" w:lineRule="exact"/>
        <w:ind w:firstLine="482" w:firstLineChars="200"/>
        <w:rPr>
          <w:rFonts w:ascii="宋体" w:hAnsi="宋体" w:eastAsia="宋体" w:cs="宋体"/>
          <w:color w:val="auto"/>
          <w:sz w:val="24"/>
          <w:highlight w:val="none"/>
        </w:rPr>
      </w:pPr>
      <w:r>
        <w:rPr>
          <w:rFonts w:hint="eastAsia" w:ascii="宋体" w:hAnsi="宋体" w:eastAsia="宋体" w:cs="宋体"/>
          <w:b/>
          <w:bCs/>
          <w:color w:val="auto"/>
          <w:sz w:val="24"/>
          <w:highlight w:val="none"/>
        </w:rPr>
        <w:t>三、投标人的资格要求</w:t>
      </w:r>
      <w:r>
        <w:rPr>
          <w:rFonts w:hint="eastAsia" w:ascii="宋体" w:hAnsi="宋体" w:eastAsia="宋体" w:cs="宋体"/>
          <w:color w:val="auto"/>
          <w:sz w:val="24"/>
          <w:highlight w:val="none"/>
        </w:rPr>
        <w:t>：</w:t>
      </w:r>
    </w:p>
    <w:p w14:paraId="225C49E0">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3.1、基本资格条件</w:t>
      </w:r>
    </w:p>
    <w:p w14:paraId="5B2EFDDC">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投标人需具备《中华人民共和国政府采购法》第二十二条规定的基本资格条件，并提供以下资格证明文件：</w:t>
      </w:r>
    </w:p>
    <w:p w14:paraId="4560220C">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（1）法人提交企业法人营业执照副本(或者事业单位法人证书)以及组织机构代码证副本复印件；</w:t>
      </w:r>
    </w:p>
    <w:p w14:paraId="28CD07FE">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（2）依法缴纳税收的证明材料：提供下列材料之一：</w:t>
      </w:r>
    </w:p>
    <w:p w14:paraId="39326DDE">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缴纳税收证明资料：《税务登记证》复印件，或者近三个月内任意一个月依法缴纳税收的证明（纳税凭证复印件），或者委托他人缴纳的委托代办协议和近三个月内任意一个月的缴纳证明（收据复印件），或者法定征收机关出具的依法免缴税收的证明原件；</w:t>
      </w:r>
    </w:p>
    <w:p w14:paraId="65288E7B">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（3）法人提交法定代表人身份证明原件或者法定代表人授权委托书原件及被授权人在投标人近三个月内任意一个月的社保证明并附法定代表人身份证明原件；</w:t>
      </w:r>
    </w:p>
    <w:p w14:paraId="7B1FA519">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（4）其他说明：</w:t>
      </w:r>
    </w:p>
    <w:p w14:paraId="461728C0">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①前文所称“近三个月”特指2025年</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月至2025年</w:t>
      </w: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rPr>
        <w:t>月。</w:t>
      </w:r>
    </w:p>
    <w:p w14:paraId="336DB9B5">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②投标人具有实行了“三证合一”登记制度改革的新证，视同为持有工商营业执照、组织机构代码证和税务登记证，符合基本资格条件的相关条款。</w:t>
      </w:r>
    </w:p>
    <w:p w14:paraId="3A617A44">
      <w:pPr>
        <w:keepNext w:val="0"/>
        <w:keepLines w:val="0"/>
        <w:pageBreakBefore w:val="0"/>
        <w:widowControl/>
        <w:shd w:val="clear" w:color="auto" w:fill="FFFFFF"/>
        <w:kinsoku/>
        <w:wordWrap/>
        <w:overflowPunct/>
        <w:topLinePunct w:val="0"/>
        <w:autoSpaceDE/>
        <w:autoSpaceDN/>
        <w:bidi w:val="0"/>
        <w:snapToGrid/>
        <w:spacing w:line="42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3.2、投标人特定资格条件：</w:t>
      </w:r>
      <w:r>
        <w:rPr>
          <w:rFonts w:hint="eastAsia" w:ascii="宋体" w:hAnsi="宋体" w:eastAsia="宋体" w:cs="宋体"/>
          <w:b/>
          <w:bCs/>
          <w:color w:val="auto"/>
          <w:spacing w:val="-2"/>
          <w:sz w:val="24"/>
          <w:highlight w:val="none"/>
        </w:rPr>
        <w:t>无。</w:t>
      </w:r>
    </w:p>
    <w:p w14:paraId="2BB57424">
      <w:pPr>
        <w:keepNext w:val="0"/>
        <w:keepLines w:val="0"/>
        <w:pageBreakBefore w:val="0"/>
        <w:widowControl/>
        <w:shd w:val="clear" w:color="auto" w:fill="FFFFFF"/>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3.3、联合体投标。本次招标不接受联合体投标。</w:t>
      </w:r>
    </w:p>
    <w:p w14:paraId="0E3633B7">
      <w:pPr>
        <w:keepNext w:val="0"/>
        <w:keepLines w:val="0"/>
        <w:pageBreakBefore w:val="0"/>
        <w:widowControl/>
        <w:shd w:val="clear" w:color="auto" w:fill="FFFFFF"/>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3.4、投标截止时间：</w:t>
      </w:r>
      <w:bookmarkStart w:id="3" w:name="OLE_LINK7"/>
      <w:r>
        <w:rPr>
          <w:rFonts w:hint="eastAsia" w:ascii="宋体" w:hAnsi="宋体" w:eastAsia="宋体" w:cs="宋体"/>
          <w:color w:val="auto"/>
          <w:sz w:val="24"/>
          <w:highlight w:val="none"/>
          <w:u w:val="single"/>
        </w:rPr>
        <w:t>2025年</w:t>
      </w:r>
      <w:r>
        <w:rPr>
          <w:rFonts w:hint="eastAsia" w:ascii="宋体" w:hAnsi="宋体" w:eastAsia="宋体" w:cs="宋体"/>
          <w:color w:val="auto"/>
          <w:sz w:val="24"/>
          <w:highlight w:val="none"/>
          <w:u w:val="single"/>
          <w:lang w:val="en-US" w:eastAsia="zh-CN"/>
        </w:rPr>
        <w:t>9</w:t>
      </w:r>
      <w:r>
        <w:rPr>
          <w:rFonts w:hint="eastAsia" w:ascii="宋体" w:hAnsi="宋体" w:eastAsia="宋体" w:cs="宋体"/>
          <w:color w:val="auto"/>
          <w:sz w:val="24"/>
          <w:highlight w:val="none"/>
          <w:u w:val="single"/>
        </w:rPr>
        <w:t>月</w:t>
      </w:r>
      <w:r>
        <w:rPr>
          <w:rFonts w:hint="eastAsia" w:ascii="宋体" w:hAnsi="宋体" w:eastAsia="宋体" w:cs="宋体"/>
          <w:color w:val="auto"/>
          <w:sz w:val="24"/>
          <w:highlight w:val="none"/>
          <w:u w:val="single"/>
          <w:lang w:val="en-US" w:eastAsia="zh-CN"/>
        </w:rPr>
        <w:t>1</w:t>
      </w:r>
      <w:r>
        <w:rPr>
          <w:rFonts w:hint="eastAsia" w:ascii="宋体" w:hAnsi="宋体" w:eastAsia="宋体" w:cs="宋体"/>
          <w:color w:val="auto"/>
          <w:sz w:val="24"/>
          <w:highlight w:val="none"/>
          <w:u w:val="single"/>
        </w:rPr>
        <w:t>日</w:t>
      </w:r>
      <w:bookmarkEnd w:id="3"/>
      <w:r>
        <w:rPr>
          <w:rFonts w:hint="eastAsia" w:ascii="宋体" w:hAnsi="宋体" w:eastAsia="宋体" w:cs="宋体"/>
          <w:color w:val="auto"/>
          <w:sz w:val="24"/>
          <w:highlight w:val="none"/>
          <w:u w:val="single"/>
          <w:lang w:val="en-US" w:eastAsia="zh-CN"/>
        </w:rPr>
        <w:t>15：30</w:t>
      </w:r>
      <w:r>
        <w:rPr>
          <w:rFonts w:hint="eastAsia" w:ascii="宋体" w:hAnsi="宋体" w:eastAsia="宋体" w:cs="宋体"/>
          <w:color w:val="auto"/>
          <w:sz w:val="24"/>
          <w:highlight w:val="none"/>
          <w:u w:val="single"/>
        </w:rPr>
        <w:t>（北京时间）</w:t>
      </w:r>
    </w:p>
    <w:p w14:paraId="24AE9CA3">
      <w:pPr>
        <w:keepNext w:val="0"/>
        <w:keepLines w:val="0"/>
        <w:pageBreakBefore w:val="0"/>
        <w:kinsoku/>
        <w:wordWrap/>
        <w:overflowPunct/>
        <w:topLinePunct w:val="0"/>
        <w:autoSpaceDE/>
        <w:autoSpaceDN/>
        <w:bidi w:val="0"/>
        <w:adjustRightInd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递交投标文件地点：浏阳市人民东路60号2楼202室</w:t>
      </w:r>
    </w:p>
    <w:p w14:paraId="1D8E9C60">
      <w:pPr>
        <w:keepNext w:val="0"/>
        <w:keepLines w:val="0"/>
        <w:pageBreakBefore w:val="0"/>
        <w:kinsoku/>
        <w:wordWrap/>
        <w:overflowPunct/>
        <w:topLinePunct w:val="0"/>
        <w:autoSpaceDE/>
        <w:autoSpaceDN/>
        <w:bidi w:val="0"/>
        <w:adjustRightInd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3.5、开标时间：</w:t>
      </w:r>
      <w:r>
        <w:rPr>
          <w:rFonts w:hint="eastAsia" w:ascii="宋体" w:hAnsi="宋体" w:eastAsia="宋体" w:cs="宋体"/>
          <w:color w:val="auto"/>
          <w:sz w:val="24"/>
          <w:highlight w:val="none"/>
          <w:u w:val="single"/>
        </w:rPr>
        <w:t>2025年</w:t>
      </w:r>
      <w:r>
        <w:rPr>
          <w:rFonts w:hint="eastAsia" w:ascii="宋体" w:hAnsi="宋体" w:eastAsia="宋体" w:cs="宋体"/>
          <w:color w:val="auto"/>
          <w:sz w:val="24"/>
          <w:highlight w:val="none"/>
          <w:u w:val="single"/>
          <w:lang w:val="en-US" w:eastAsia="zh-CN"/>
        </w:rPr>
        <w:t>9</w:t>
      </w:r>
      <w:r>
        <w:rPr>
          <w:rFonts w:hint="eastAsia" w:ascii="宋体" w:hAnsi="宋体" w:eastAsia="宋体" w:cs="宋体"/>
          <w:color w:val="auto"/>
          <w:sz w:val="24"/>
          <w:highlight w:val="none"/>
          <w:u w:val="single"/>
        </w:rPr>
        <w:t>月</w:t>
      </w:r>
      <w:r>
        <w:rPr>
          <w:rFonts w:hint="eastAsia" w:ascii="宋体" w:hAnsi="宋体" w:eastAsia="宋体" w:cs="宋体"/>
          <w:color w:val="auto"/>
          <w:sz w:val="24"/>
          <w:highlight w:val="none"/>
          <w:u w:val="single"/>
          <w:lang w:val="en-US" w:eastAsia="zh-CN"/>
        </w:rPr>
        <w:t>1</w:t>
      </w:r>
      <w:r>
        <w:rPr>
          <w:rFonts w:hint="eastAsia" w:ascii="宋体" w:hAnsi="宋体" w:eastAsia="宋体" w:cs="宋体"/>
          <w:color w:val="auto"/>
          <w:sz w:val="24"/>
          <w:highlight w:val="none"/>
          <w:u w:val="single"/>
        </w:rPr>
        <w:t>日</w:t>
      </w:r>
      <w:r>
        <w:rPr>
          <w:rFonts w:hint="eastAsia" w:ascii="宋体" w:hAnsi="宋体" w:eastAsia="宋体" w:cs="宋体"/>
          <w:color w:val="auto"/>
          <w:sz w:val="24"/>
          <w:highlight w:val="none"/>
          <w:u w:val="single"/>
          <w:lang w:val="en-US" w:eastAsia="zh-CN"/>
        </w:rPr>
        <w:t>15：30</w:t>
      </w:r>
      <w:r>
        <w:rPr>
          <w:rFonts w:hint="eastAsia" w:ascii="宋体" w:hAnsi="宋体" w:eastAsia="宋体" w:cs="宋体"/>
          <w:color w:val="auto"/>
          <w:sz w:val="24"/>
          <w:highlight w:val="none"/>
          <w:u w:val="single"/>
        </w:rPr>
        <w:t>（北京时间）</w:t>
      </w:r>
    </w:p>
    <w:p w14:paraId="4F5D6C24">
      <w:pPr>
        <w:keepNext w:val="0"/>
        <w:keepLines w:val="0"/>
        <w:pageBreakBefore w:val="0"/>
        <w:kinsoku/>
        <w:wordWrap/>
        <w:overflowPunct/>
        <w:topLinePunct w:val="0"/>
        <w:autoSpaceDE/>
        <w:autoSpaceDN/>
        <w:bidi w:val="0"/>
        <w:adjustRightInd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开标地点：浏阳市人民东路60号2楼202室</w:t>
      </w:r>
    </w:p>
    <w:p w14:paraId="77E7F58A">
      <w:pPr>
        <w:keepNext w:val="0"/>
        <w:keepLines w:val="0"/>
        <w:pageBreakBefore w:val="0"/>
        <w:kinsoku/>
        <w:wordWrap/>
        <w:overflowPunct/>
        <w:topLinePunct w:val="0"/>
        <w:autoSpaceDE/>
        <w:autoSpaceDN/>
        <w:bidi w:val="0"/>
        <w:snapToGrid/>
        <w:spacing w:line="420" w:lineRule="exact"/>
        <w:ind w:left="479" w:leftChars="228" w:firstLine="0" w:firstLineChars="0"/>
        <w:jc w:val="left"/>
        <w:rPr>
          <w:rFonts w:ascii="宋体" w:hAnsi="宋体" w:eastAsia="宋体" w:cs="宋体"/>
          <w:color w:val="auto"/>
          <w:sz w:val="24"/>
          <w:highlight w:val="none"/>
        </w:rPr>
      </w:pPr>
      <w:r>
        <w:rPr>
          <w:rFonts w:hint="eastAsia" w:ascii="宋体" w:hAnsi="宋体" w:eastAsia="宋体" w:cs="宋体"/>
          <w:color w:val="auto"/>
          <w:sz w:val="24"/>
          <w:highlight w:val="none"/>
        </w:rPr>
        <w:t>3.6、投标人要求澄清招标文件：投标人若对招标文件有任何疑问，应于</w:t>
      </w:r>
      <w:r>
        <w:rPr>
          <w:rFonts w:hint="eastAsia" w:ascii="宋体" w:hAnsi="宋体" w:eastAsia="宋体" w:cs="宋体"/>
          <w:color w:val="auto"/>
          <w:sz w:val="24"/>
          <w:highlight w:val="none"/>
          <w:u w:val="single"/>
        </w:rPr>
        <w:t>2025年</w:t>
      </w:r>
      <w:r>
        <w:rPr>
          <w:rFonts w:hint="eastAsia" w:ascii="宋体" w:hAnsi="宋体" w:eastAsia="宋体" w:cs="宋体"/>
          <w:color w:val="auto"/>
          <w:sz w:val="24"/>
          <w:highlight w:val="none"/>
          <w:u w:val="single"/>
          <w:lang w:val="en-US" w:eastAsia="zh-CN"/>
        </w:rPr>
        <w:t>8</w:t>
      </w:r>
      <w:r>
        <w:rPr>
          <w:rFonts w:hint="eastAsia" w:ascii="宋体" w:hAnsi="宋体" w:eastAsia="宋体" w:cs="宋体"/>
          <w:color w:val="auto"/>
          <w:sz w:val="24"/>
          <w:highlight w:val="none"/>
          <w:u w:val="single"/>
        </w:rPr>
        <w:t>月</w:t>
      </w:r>
      <w:r>
        <w:rPr>
          <w:rFonts w:hint="eastAsia" w:ascii="宋体" w:hAnsi="宋体" w:eastAsia="宋体" w:cs="宋体"/>
          <w:color w:val="auto"/>
          <w:sz w:val="24"/>
          <w:highlight w:val="none"/>
          <w:u w:val="single"/>
          <w:lang w:val="en-US" w:eastAsia="zh-CN"/>
        </w:rPr>
        <w:t>28</w:t>
      </w:r>
      <w:r>
        <w:rPr>
          <w:rFonts w:hint="eastAsia" w:ascii="宋体" w:hAnsi="宋体" w:eastAsia="宋体" w:cs="宋体"/>
          <w:color w:val="auto"/>
          <w:sz w:val="24"/>
          <w:highlight w:val="none"/>
          <w:u w:val="single"/>
        </w:rPr>
        <w:t>日17:00</w:t>
      </w:r>
      <w:r>
        <w:rPr>
          <w:rFonts w:hint="eastAsia" w:ascii="宋体" w:hAnsi="宋体" w:eastAsia="宋体" w:cs="宋体"/>
          <w:color w:val="auto"/>
          <w:sz w:val="24"/>
          <w:highlight w:val="none"/>
        </w:rPr>
        <w:t>（北京时间）前以不署名的方式发送至2918265399@qq.com（邮件主题需填写该项目名称），过期不予受理。</w:t>
      </w:r>
    </w:p>
    <w:p w14:paraId="43E535A4">
      <w:pPr>
        <w:keepNext w:val="0"/>
        <w:keepLines w:val="0"/>
        <w:pageBreakBefore w:val="0"/>
        <w:kinsoku/>
        <w:wordWrap/>
        <w:overflowPunct/>
        <w:topLinePunct w:val="0"/>
        <w:autoSpaceDE/>
        <w:autoSpaceDN/>
        <w:bidi w:val="0"/>
        <w:snapToGrid/>
        <w:spacing w:line="420" w:lineRule="exact"/>
        <w:ind w:firstLine="480" w:firstLineChars="200"/>
        <w:jc w:val="left"/>
        <w:rPr>
          <w:rFonts w:ascii="宋体" w:hAnsi="宋体" w:eastAsia="宋体" w:cs="宋体"/>
          <w:color w:val="auto"/>
          <w:sz w:val="24"/>
          <w:highlight w:val="none"/>
        </w:rPr>
      </w:pPr>
      <w:r>
        <w:rPr>
          <w:rFonts w:hint="eastAsia" w:ascii="宋体" w:hAnsi="宋体" w:eastAsia="宋体" w:cs="宋体"/>
          <w:color w:val="auto"/>
          <w:sz w:val="24"/>
          <w:highlight w:val="none"/>
        </w:rPr>
        <w:t>3.7招标澄清公告在浏阳市城乡发展集团有限责任公司官网（http：//www.liufajituan.com/）发布，投标人自行在上述网站下载，敬请关注，恕不另行通知，如有遗漏，招标人概不负责。</w:t>
      </w:r>
    </w:p>
    <w:p w14:paraId="0879B3C5">
      <w:pPr>
        <w:keepNext w:val="0"/>
        <w:keepLines w:val="0"/>
        <w:pageBreakBefore w:val="0"/>
        <w:kinsoku/>
        <w:wordWrap/>
        <w:overflowPunct/>
        <w:topLinePunct w:val="0"/>
        <w:autoSpaceDE/>
        <w:autoSpaceDN/>
        <w:bidi w:val="0"/>
        <w:snapToGrid/>
        <w:spacing w:line="42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3.8、开标时查验：法人代表授权委托书、法定代表人身份证明和被授权人有效身份证原件及被授权人在投标人近三个月内任意一个月的社保证明。</w:t>
      </w:r>
    </w:p>
    <w:p w14:paraId="6621E9CC">
      <w:pPr>
        <w:keepNext w:val="0"/>
        <w:keepLines w:val="0"/>
        <w:pageBreakBefore w:val="0"/>
        <w:kinsoku/>
        <w:wordWrap/>
        <w:overflowPunct/>
        <w:topLinePunct w:val="0"/>
        <w:autoSpaceDE/>
        <w:autoSpaceDN/>
        <w:bidi w:val="0"/>
        <w:snapToGrid/>
        <w:spacing w:line="42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3.</w:t>
      </w:r>
      <w:r>
        <w:rPr>
          <w:rFonts w:hint="eastAsia" w:ascii="宋体" w:hAnsi="宋体" w:eastAsia="宋体" w:cs="宋体"/>
          <w:b/>
          <w:bCs/>
          <w:color w:val="auto"/>
          <w:sz w:val="24"/>
          <w:highlight w:val="none"/>
          <w:lang w:val="en-US" w:eastAsia="zh-CN"/>
        </w:rPr>
        <w:t>9</w:t>
      </w:r>
      <w:r>
        <w:rPr>
          <w:rFonts w:hint="eastAsia" w:ascii="宋体" w:hAnsi="宋体" w:eastAsia="宋体" w:cs="宋体"/>
          <w:b/>
          <w:bCs/>
          <w:color w:val="auto"/>
          <w:sz w:val="24"/>
          <w:highlight w:val="none"/>
        </w:rPr>
        <w:t>、中标方应在公示期结束后7日内与招标人对接，并完成采购合同签订。中标后逾期不签订合同或未按招标文件约定签订合同的，视为放弃中标。投标人提供虚假材料谋取中标的、中标后放弃中标的、将合同转包的，提供假冒伪劣产品的，将列入不良行为记录名单，在3年内禁止参加浏发集团（及下属公司）任何项目的招标采购活动。</w:t>
      </w:r>
    </w:p>
    <w:p w14:paraId="0D088998">
      <w:pPr>
        <w:keepNext w:val="0"/>
        <w:keepLines w:val="0"/>
        <w:pageBreakBefore w:val="0"/>
        <w:widowControl/>
        <w:shd w:val="clear" w:color="auto" w:fill="FFFFFF"/>
        <w:kinsoku/>
        <w:wordWrap/>
        <w:overflowPunct/>
        <w:topLinePunct w:val="0"/>
        <w:autoSpaceDE/>
        <w:autoSpaceDN/>
        <w:bidi w:val="0"/>
        <w:snapToGrid/>
        <w:spacing w:line="42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四、</w:t>
      </w:r>
      <w:bookmarkStart w:id="4" w:name="_Toc3730"/>
      <w:r>
        <w:rPr>
          <w:rFonts w:hint="eastAsia" w:ascii="宋体" w:hAnsi="宋体" w:eastAsia="宋体" w:cs="宋体"/>
          <w:b/>
          <w:bCs/>
          <w:color w:val="auto"/>
          <w:sz w:val="24"/>
          <w:highlight w:val="none"/>
        </w:rPr>
        <w:t>评标办法：最低评标价法。</w:t>
      </w:r>
      <w:bookmarkEnd w:id="4"/>
    </w:p>
    <w:p w14:paraId="0B3F8ED8">
      <w:pPr>
        <w:keepNext w:val="0"/>
        <w:keepLines w:val="0"/>
        <w:pageBreakBefore w:val="0"/>
        <w:widowControl/>
        <w:shd w:val="clear" w:color="auto" w:fill="FFFFFF"/>
        <w:kinsoku/>
        <w:wordWrap/>
        <w:overflowPunct/>
        <w:topLinePunct w:val="0"/>
        <w:autoSpaceDE/>
        <w:autoSpaceDN/>
        <w:bidi w:val="0"/>
        <w:snapToGrid/>
        <w:spacing w:line="42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五、</w:t>
      </w:r>
      <w:bookmarkEnd w:id="1"/>
      <w:r>
        <w:rPr>
          <w:rFonts w:hint="eastAsia" w:ascii="宋体" w:hAnsi="宋体" w:eastAsia="宋体" w:cs="宋体"/>
          <w:b/>
          <w:bCs/>
          <w:color w:val="auto"/>
          <w:sz w:val="24"/>
          <w:highlight w:val="none"/>
        </w:rPr>
        <w:t>获取招标文件</w:t>
      </w:r>
    </w:p>
    <w:p w14:paraId="6CD53FAE">
      <w:pPr>
        <w:keepNext w:val="0"/>
        <w:keepLines w:val="0"/>
        <w:pageBreakBefore w:val="0"/>
        <w:widowControl/>
        <w:kinsoku/>
        <w:wordWrap/>
        <w:overflowPunct/>
        <w:topLinePunct w:val="0"/>
        <w:autoSpaceDE/>
        <w:autoSpaceDN/>
        <w:bidi w:val="0"/>
        <w:snapToGrid/>
        <w:spacing w:line="420" w:lineRule="exact"/>
        <w:ind w:firstLine="480"/>
        <w:textAlignment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6.1、凡符合投标资格要求并有意参加投标者，登录浏阳市城乡发展集团有限责任公司官网（http：//www.liufajituan.com/）免费下载招标文件。</w:t>
      </w:r>
    </w:p>
    <w:p w14:paraId="19E0137F">
      <w:pPr>
        <w:keepNext w:val="0"/>
        <w:keepLines w:val="0"/>
        <w:pageBreakBefore w:val="0"/>
        <w:widowControl/>
        <w:kinsoku/>
        <w:wordWrap/>
        <w:overflowPunct/>
        <w:topLinePunct w:val="0"/>
        <w:autoSpaceDE/>
        <w:autoSpaceDN/>
        <w:bidi w:val="0"/>
        <w:snapToGrid/>
        <w:spacing w:line="420" w:lineRule="exact"/>
        <w:ind w:firstLine="480"/>
        <w:textAlignment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6.2、各投标人自行在以上网站下载或查阅招标相关文件和资料等，恕不另行通知，如有遗漏招标采购单位概不负责。</w:t>
      </w:r>
    </w:p>
    <w:p w14:paraId="5C79AE63">
      <w:pPr>
        <w:keepNext w:val="0"/>
        <w:keepLines w:val="0"/>
        <w:pageBreakBefore w:val="0"/>
        <w:kinsoku/>
        <w:wordWrap/>
        <w:overflowPunct/>
        <w:topLinePunct w:val="0"/>
        <w:autoSpaceDE/>
        <w:autoSpaceDN/>
        <w:bidi w:val="0"/>
        <w:snapToGrid/>
        <w:spacing w:line="420" w:lineRule="exact"/>
        <w:ind w:firstLine="482" w:firstLineChars="200"/>
        <w:rPr>
          <w:rFonts w:ascii="宋体" w:hAnsi="宋体" w:eastAsia="宋体" w:cs="宋体"/>
          <w:color w:val="auto"/>
          <w:sz w:val="24"/>
          <w:highlight w:val="none"/>
        </w:rPr>
      </w:pPr>
      <w:r>
        <w:rPr>
          <w:rFonts w:hint="eastAsia" w:ascii="宋体" w:hAnsi="宋体" w:eastAsia="宋体" w:cs="宋体"/>
          <w:b/>
          <w:bCs/>
          <w:color w:val="auto"/>
          <w:sz w:val="24"/>
          <w:highlight w:val="none"/>
        </w:rPr>
        <w:t>六、联系方式：</w:t>
      </w:r>
      <w:r>
        <w:rPr>
          <w:rFonts w:hint="eastAsia" w:ascii="宋体" w:hAnsi="宋体" w:eastAsia="宋体" w:cs="宋体"/>
          <w:color w:val="auto"/>
          <w:sz w:val="24"/>
          <w:highlight w:val="none"/>
        </w:rPr>
        <w:t>有关此次采购事宜，可向下列单位查询：</w:t>
      </w:r>
    </w:p>
    <w:p w14:paraId="5F5F791D">
      <w:pPr>
        <w:keepNext w:val="0"/>
        <w:keepLines w:val="0"/>
        <w:pageBreakBefore w:val="0"/>
        <w:tabs>
          <w:tab w:val="left" w:pos="7853"/>
        </w:tabs>
        <w:kinsoku/>
        <w:wordWrap/>
        <w:overflowPunct/>
        <w:topLinePunct w:val="0"/>
        <w:autoSpaceDE/>
        <w:autoSpaceDN/>
        <w:bidi w:val="0"/>
        <w:snapToGrid/>
        <w:spacing w:line="420" w:lineRule="exact"/>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招标 人：</w:t>
      </w:r>
      <w:r>
        <w:rPr>
          <w:rFonts w:hint="eastAsia" w:ascii="宋体" w:hAnsi="宋体" w:eastAsia="宋体" w:cs="宋体"/>
          <w:color w:val="auto"/>
          <w:sz w:val="24"/>
          <w:highlight w:val="none"/>
          <w:lang w:eastAsia="zh-CN"/>
        </w:rPr>
        <w:t>浏阳市水利建设投资有限公司</w:t>
      </w:r>
    </w:p>
    <w:p w14:paraId="411327D6">
      <w:pPr>
        <w:keepNext w:val="0"/>
        <w:keepLines w:val="0"/>
        <w:pageBreakBefore w:val="0"/>
        <w:tabs>
          <w:tab w:val="left" w:pos="7853"/>
        </w:tabs>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地    址：浏阳市人民东路60号</w:t>
      </w:r>
    </w:p>
    <w:p w14:paraId="5AED38D7">
      <w:pPr>
        <w:keepNext w:val="0"/>
        <w:keepLines w:val="0"/>
        <w:pageBreakBefore w:val="0"/>
        <w:tabs>
          <w:tab w:val="left" w:pos="7853"/>
        </w:tabs>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联系人：易女士     电话：0731-83648668</w:t>
      </w:r>
    </w:p>
    <w:p w14:paraId="5F2F0071">
      <w:pPr>
        <w:keepNext w:val="0"/>
        <w:keepLines w:val="0"/>
        <w:pageBreakBefore w:val="0"/>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代理机构：长沙东睿工程咨询有限公司</w:t>
      </w:r>
    </w:p>
    <w:p w14:paraId="3BAC85DA">
      <w:pPr>
        <w:keepNext w:val="0"/>
        <w:keepLines w:val="0"/>
        <w:pageBreakBefore w:val="0"/>
        <w:tabs>
          <w:tab w:val="left" w:pos="364"/>
        </w:tabs>
        <w:kinsoku/>
        <w:wordWrap/>
        <w:overflowPunct/>
        <w:topLinePunct w:val="0"/>
        <w:autoSpaceDE/>
        <w:autoSpaceDN/>
        <w:bidi w:val="0"/>
        <w:snapToGrid/>
        <w:spacing w:line="4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Times New Roman"/>
          <w:color w:val="auto"/>
          <w:sz w:val="24"/>
          <w:highlight w:val="none"/>
        </w:rPr>
        <w:t>浏阳市圣大云天3栋703</w:t>
      </w:r>
    </w:p>
    <w:p w14:paraId="611CE70F">
      <w:pPr>
        <w:keepNext w:val="0"/>
        <w:keepLines w:val="0"/>
        <w:pageBreakBefore w:val="0"/>
        <w:tabs>
          <w:tab w:val="left" w:pos="364"/>
        </w:tabs>
        <w:kinsoku/>
        <w:wordWrap/>
        <w:overflowPunct/>
        <w:topLinePunct w:val="0"/>
        <w:autoSpaceDE/>
        <w:autoSpaceDN/>
        <w:bidi w:val="0"/>
        <w:snapToGrid/>
        <w:spacing w:line="420" w:lineRule="exact"/>
        <w:ind w:firstLine="480" w:firstLineChars="200"/>
        <w:jc w:val="left"/>
        <w:rPr>
          <w:rFonts w:ascii="宋体" w:hAnsi="宋体" w:eastAsia="宋体" w:cs="宋体"/>
          <w:color w:val="auto"/>
          <w:sz w:val="24"/>
          <w:highlight w:val="none"/>
        </w:rPr>
      </w:pPr>
      <w:r>
        <w:rPr>
          <w:rFonts w:hint="eastAsia" w:ascii="宋体" w:hAnsi="宋体" w:eastAsia="宋体" w:cs="宋体"/>
          <w:color w:val="auto"/>
          <w:sz w:val="24"/>
          <w:highlight w:val="none"/>
        </w:rPr>
        <w:t>联 系 人：</w:t>
      </w:r>
      <w:r>
        <w:rPr>
          <w:rFonts w:hint="eastAsia" w:ascii="宋体" w:hAnsi="宋体" w:cs="宋体"/>
          <w:color w:val="auto"/>
          <w:sz w:val="24"/>
          <w:highlight w:val="none"/>
        </w:rPr>
        <w:t>刘先生、闵女士</w:t>
      </w:r>
      <w:r>
        <w:rPr>
          <w:rFonts w:hint="eastAsia" w:ascii="宋体" w:hAnsi="宋体" w:eastAsia="宋体" w:cs="宋体"/>
          <w:color w:val="auto"/>
          <w:sz w:val="24"/>
          <w:highlight w:val="none"/>
        </w:rPr>
        <w:t xml:space="preserve">     电话：</w:t>
      </w:r>
      <w:r>
        <w:rPr>
          <w:rFonts w:hint="eastAsia" w:ascii="宋体" w:hAnsi="宋体" w:cs="宋体"/>
          <w:color w:val="auto"/>
          <w:sz w:val="24"/>
          <w:highlight w:val="none"/>
        </w:rPr>
        <w:t>0731-83630580  19974822466</w:t>
      </w:r>
    </w:p>
    <w:p w14:paraId="0B7E59ED">
      <w:pPr>
        <w:keepNext w:val="0"/>
        <w:keepLines w:val="0"/>
        <w:pageBreakBefore w:val="0"/>
        <w:tabs>
          <w:tab w:val="left" w:pos="364"/>
        </w:tabs>
        <w:kinsoku/>
        <w:wordWrap/>
        <w:overflowPunct/>
        <w:topLinePunct w:val="0"/>
        <w:autoSpaceDE/>
        <w:autoSpaceDN/>
        <w:bidi w:val="0"/>
        <w:snapToGrid/>
        <w:spacing w:line="440" w:lineRule="exact"/>
        <w:ind w:firstLine="480" w:firstLineChars="200"/>
        <w:jc w:val="right"/>
        <w:rPr>
          <w:rFonts w:ascii="宋体" w:hAnsi="宋体" w:eastAsia="宋体" w:cs="宋体"/>
          <w:color w:val="auto"/>
          <w:sz w:val="24"/>
          <w:highlight w:val="none"/>
        </w:rPr>
      </w:pPr>
      <w:r>
        <w:rPr>
          <w:rFonts w:hint="eastAsia" w:ascii="宋体" w:hAnsi="宋体" w:eastAsia="宋体" w:cs="宋体"/>
          <w:color w:val="auto"/>
          <w:sz w:val="24"/>
          <w:highlight w:val="none"/>
        </w:rPr>
        <w:t>2025年</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25</w:t>
      </w:r>
      <w:r>
        <w:rPr>
          <w:rFonts w:hint="eastAsia" w:ascii="宋体" w:hAnsi="宋体" w:eastAsia="宋体" w:cs="宋体"/>
          <w:color w:val="auto"/>
          <w:sz w:val="24"/>
          <w:highlight w:val="none"/>
        </w:rPr>
        <w:t>日</w:t>
      </w:r>
      <w:bookmarkEnd w:id="0"/>
    </w:p>
    <w:p w14:paraId="6270D779">
      <w:pPr>
        <w:rPr>
          <w:rFonts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br w:type="page"/>
      </w:r>
    </w:p>
    <w:p w14:paraId="21988D21">
      <w:pPr>
        <w:widowControl/>
        <w:shd w:val="clear" w:color="auto" w:fill="FFFFFF"/>
        <w:spacing w:before="100" w:beforeAutospacing="1" w:after="100" w:afterAutospacing="1" w:line="360" w:lineRule="auto"/>
        <w:jc w:val="center"/>
        <w:rPr>
          <w:rFonts w:ascii="宋体" w:hAnsi="宋体" w:eastAsia="宋体" w:cs="宋体"/>
          <w:bCs/>
          <w:color w:val="auto"/>
          <w:kern w:val="0"/>
          <w:sz w:val="36"/>
          <w:szCs w:val="36"/>
          <w:highlight w:val="none"/>
        </w:rPr>
      </w:pPr>
      <w:r>
        <w:rPr>
          <w:rFonts w:hint="eastAsia" w:ascii="宋体" w:hAnsi="宋体" w:eastAsia="宋体" w:cs="宋体"/>
          <w:b/>
          <w:bCs/>
          <w:color w:val="auto"/>
          <w:sz w:val="36"/>
          <w:szCs w:val="36"/>
          <w:highlight w:val="none"/>
          <w:lang w:eastAsia="zh-CN"/>
        </w:rPr>
        <w:t>浏阳市2023年北正社区中医院等9个老旧小区配套基础设施改造项目（自来水公司宿舍东侧等三个停车场设备采购安装）（第二次）</w:t>
      </w:r>
      <w:r>
        <w:rPr>
          <w:rFonts w:hint="eastAsia" w:ascii="宋体" w:hAnsi="宋体" w:eastAsia="宋体" w:cs="宋体"/>
          <w:b/>
          <w:bCs/>
          <w:color w:val="auto"/>
          <w:kern w:val="0"/>
          <w:sz w:val="36"/>
          <w:szCs w:val="36"/>
          <w:highlight w:val="none"/>
        </w:rPr>
        <w:t>招标文件</w:t>
      </w:r>
    </w:p>
    <w:p w14:paraId="685AFA94">
      <w:pPr>
        <w:wordWrap w:val="0"/>
        <w:spacing w:line="480" w:lineRule="exact"/>
        <w:ind w:firstLine="480" w:firstLineChars="200"/>
        <w:jc w:val="left"/>
        <w:rPr>
          <w:rFonts w:ascii="宋体" w:hAnsi="宋体" w:eastAsia="宋体" w:cs="宋体"/>
          <w:color w:val="auto"/>
          <w:sz w:val="24"/>
          <w:highlight w:val="none"/>
        </w:rPr>
      </w:pPr>
      <w:r>
        <w:rPr>
          <w:rFonts w:hint="eastAsia" w:ascii="宋体" w:hAnsi="宋体" w:eastAsia="宋体" w:cs="宋体"/>
          <w:color w:val="auto"/>
          <w:kern w:val="0"/>
          <w:sz w:val="24"/>
          <w:highlight w:val="none"/>
        </w:rPr>
        <w:t>长沙东睿工程咨询有限公司受</w:t>
      </w:r>
      <w:r>
        <w:rPr>
          <w:rFonts w:hint="eastAsia" w:ascii="宋体" w:hAnsi="宋体" w:eastAsia="宋体" w:cs="宋体"/>
          <w:color w:val="auto"/>
          <w:kern w:val="0"/>
          <w:sz w:val="24"/>
          <w:highlight w:val="none"/>
          <w:lang w:eastAsia="zh-CN"/>
        </w:rPr>
        <w:t>浏阳市水利建设投资有限公司</w:t>
      </w:r>
      <w:r>
        <w:rPr>
          <w:rFonts w:hint="eastAsia" w:ascii="宋体" w:hAnsi="宋体" w:eastAsia="宋体" w:cs="宋体"/>
          <w:color w:val="auto"/>
          <w:kern w:val="0"/>
          <w:sz w:val="24"/>
          <w:highlight w:val="none"/>
        </w:rPr>
        <w:t>委托，就其</w:t>
      </w:r>
      <w:r>
        <w:rPr>
          <w:rFonts w:hint="eastAsia" w:ascii="宋体" w:hAnsi="宋体" w:eastAsia="宋体" w:cs="宋体"/>
          <w:color w:val="auto"/>
          <w:sz w:val="24"/>
          <w:highlight w:val="none"/>
          <w:lang w:eastAsia="zh-CN"/>
        </w:rPr>
        <w:t>浏阳市2023年北正社区中医院等9个老旧小区配套基础设施改造项目（自来水公司宿舍东侧等三个停车场设备采购安装）（第二次）</w:t>
      </w:r>
      <w:r>
        <w:rPr>
          <w:rFonts w:hint="eastAsia" w:ascii="宋体" w:hAnsi="宋体" w:eastAsia="宋体" w:cs="宋体"/>
          <w:color w:val="auto"/>
          <w:kern w:val="0"/>
          <w:sz w:val="24"/>
          <w:highlight w:val="none"/>
        </w:rPr>
        <w:t>进行采购，现进行公开招标。</w:t>
      </w:r>
    </w:p>
    <w:p w14:paraId="295029F2">
      <w:pPr>
        <w:numPr>
          <w:ilvl w:val="0"/>
          <w:numId w:val="2"/>
        </w:numPr>
        <w:spacing w:line="520" w:lineRule="exact"/>
        <w:ind w:firstLine="641" w:firstLineChars="266"/>
        <w:rPr>
          <w:rFonts w:ascii="宋体" w:hAnsi="宋体" w:eastAsia="宋体" w:cs="宋体"/>
          <w:color w:val="auto"/>
          <w:sz w:val="24"/>
          <w:highlight w:val="none"/>
        </w:rPr>
      </w:pPr>
      <w:r>
        <w:rPr>
          <w:rFonts w:hint="eastAsia" w:ascii="宋体" w:hAnsi="宋体" w:eastAsia="宋体" w:cs="宋体"/>
          <w:b/>
          <w:bCs/>
          <w:color w:val="auto"/>
          <w:sz w:val="24"/>
          <w:highlight w:val="none"/>
        </w:rPr>
        <w:t>招标范围及内容：</w:t>
      </w:r>
      <w:r>
        <w:rPr>
          <w:rFonts w:hint="eastAsia" w:ascii="宋体" w:hAnsi="宋体" w:eastAsia="宋体" w:cs="宋体"/>
          <w:b w:val="0"/>
          <w:bCs w:val="0"/>
          <w:color w:val="auto"/>
          <w:sz w:val="24"/>
          <w:highlight w:val="none"/>
        </w:rPr>
        <w:t>思邈公寓东侧停车场、自来水公司宿舍东侧停车场、湘顺小区东侧停车场道闸及监控设备，详见采购清单。</w:t>
      </w:r>
    </w:p>
    <w:p w14:paraId="00912EE5">
      <w:pPr>
        <w:numPr>
          <w:ilvl w:val="0"/>
          <w:numId w:val="2"/>
        </w:numPr>
        <w:spacing w:line="520" w:lineRule="exact"/>
        <w:ind w:firstLine="641" w:firstLineChars="266"/>
        <w:rPr>
          <w:rFonts w:ascii="宋体" w:hAnsi="宋体" w:eastAsia="宋体" w:cs="宋体"/>
          <w:color w:val="auto"/>
          <w:sz w:val="24"/>
          <w:highlight w:val="none"/>
        </w:rPr>
      </w:pPr>
      <w:r>
        <w:rPr>
          <w:rFonts w:hint="eastAsia" w:ascii="宋体" w:hAnsi="宋体" w:eastAsia="宋体" w:cs="宋体"/>
          <w:b/>
          <w:bCs/>
          <w:color w:val="auto"/>
          <w:sz w:val="24"/>
          <w:highlight w:val="none"/>
        </w:rPr>
        <w:t>项目地点</w:t>
      </w:r>
      <w:r>
        <w:rPr>
          <w:rFonts w:hint="eastAsia" w:ascii="宋体" w:hAnsi="宋体" w:eastAsia="宋体" w:cs="宋体"/>
          <w:color w:val="auto"/>
          <w:sz w:val="24"/>
          <w:highlight w:val="none"/>
        </w:rPr>
        <w:t>：浏阳市内。</w:t>
      </w:r>
    </w:p>
    <w:p w14:paraId="01D2987D">
      <w:pPr>
        <w:numPr>
          <w:ilvl w:val="0"/>
          <w:numId w:val="2"/>
        </w:numPr>
        <w:spacing w:line="520" w:lineRule="exact"/>
        <w:ind w:firstLine="641" w:firstLineChars="266"/>
        <w:rPr>
          <w:rFonts w:ascii="宋体" w:hAnsi="宋体" w:eastAsia="宋体" w:cs="宋体"/>
          <w:color w:val="auto"/>
          <w:kern w:val="0"/>
          <w:sz w:val="24"/>
          <w:highlight w:val="none"/>
        </w:rPr>
      </w:pPr>
      <w:r>
        <w:rPr>
          <w:rFonts w:hint="eastAsia" w:ascii="宋体" w:hAnsi="宋体" w:eastAsia="宋体" w:cs="宋体"/>
          <w:b/>
          <w:bCs/>
          <w:color w:val="auto"/>
          <w:sz w:val="24"/>
          <w:highlight w:val="none"/>
        </w:rPr>
        <w:t>资金来源：</w:t>
      </w:r>
      <w:r>
        <w:rPr>
          <w:rFonts w:hint="eastAsia" w:ascii="宋体" w:hAnsi="宋体" w:eastAsia="宋体" w:cs="宋体"/>
          <w:color w:val="auto"/>
          <w:sz w:val="24"/>
          <w:highlight w:val="none"/>
        </w:rPr>
        <w:t>采购单位自筹。</w:t>
      </w:r>
    </w:p>
    <w:p w14:paraId="07C4983F">
      <w:pPr>
        <w:numPr>
          <w:ilvl w:val="0"/>
          <w:numId w:val="2"/>
        </w:numPr>
        <w:spacing w:line="520" w:lineRule="exact"/>
        <w:ind w:firstLine="641" w:firstLineChars="266"/>
        <w:rPr>
          <w:rFonts w:ascii="宋体" w:hAnsi="宋体" w:eastAsia="宋体" w:cs="宋体"/>
          <w:color w:val="auto"/>
          <w:kern w:val="0"/>
          <w:sz w:val="24"/>
          <w:highlight w:val="none"/>
        </w:rPr>
      </w:pPr>
      <w:r>
        <w:rPr>
          <w:rFonts w:hint="eastAsia" w:ascii="宋体" w:hAnsi="宋体" w:eastAsia="宋体" w:cs="宋体"/>
          <w:b/>
          <w:color w:val="auto"/>
          <w:sz w:val="24"/>
          <w:highlight w:val="none"/>
        </w:rPr>
        <w:t>交货与安装工期：</w:t>
      </w:r>
      <w:r>
        <w:rPr>
          <w:rFonts w:hint="eastAsia" w:ascii="宋体" w:hAnsi="宋体" w:eastAsia="宋体" w:cs="宋体"/>
          <w:bCs/>
          <w:color w:val="auto"/>
          <w:sz w:val="24"/>
          <w:highlight w:val="none"/>
        </w:rPr>
        <w:t>合同签订后</w:t>
      </w:r>
      <w:r>
        <w:rPr>
          <w:rFonts w:hint="eastAsia" w:ascii="宋体" w:hAnsi="宋体" w:eastAsia="宋体" w:cs="宋体"/>
          <w:bCs/>
          <w:color w:val="auto"/>
          <w:sz w:val="24"/>
          <w:highlight w:val="none"/>
          <w:lang w:val="en-US" w:eastAsia="zh-CN"/>
        </w:rPr>
        <w:t>10</w:t>
      </w:r>
      <w:r>
        <w:rPr>
          <w:rFonts w:hint="eastAsia" w:ascii="宋体" w:hAnsi="宋体" w:eastAsia="宋体" w:cs="宋体"/>
          <w:bCs/>
          <w:color w:val="auto"/>
          <w:sz w:val="24"/>
          <w:highlight w:val="none"/>
        </w:rPr>
        <w:t>日历天内货到并完成安装调试，达到交付使用标准。</w:t>
      </w:r>
    </w:p>
    <w:p w14:paraId="1BF75373">
      <w:pPr>
        <w:numPr>
          <w:ilvl w:val="0"/>
          <w:numId w:val="2"/>
        </w:numPr>
        <w:spacing w:line="520" w:lineRule="exact"/>
        <w:ind w:firstLine="641" w:firstLineChars="266"/>
        <w:rPr>
          <w:rFonts w:ascii="宋体" w:hAnsi="宋体" w:eastAsia="宋体" w:cs="宋体"/>
          <w:color w:val="auto"/>
          <w:kern w:val="0"/>
          <w:sz w:val="24"/>
          <w:highlight w:val="none"/>
        </w:rPr>
      </w:pPr>
      <w:r>
        <w:rPr>
          <w:rFonts w:hint="eastAsia" w:ascii="宋体" w:hAnsi="宋体" w:eastAsia="宋体" w:cs="宋体"/>
          <w:b/>
          <w:bCs/>
          <w:color w:val="auto"/>
          <w:kern w:val="0"/>
          <w:sz w:val="24"/>
          <w:highlight w:val="none"/>
        </w:rPr>
        <w:t>质量要求：</w:t>
      </w:r>
      <w:r>
        <w:rPr>
          <w:rFonts w:hint="eastAsia" w:ascii="宋体" w:hAnsi="宋体" w:eastAsia="宋体" w:cs="宋体"/>
          <w:color w:val="auto"/>
          <w:kern w:val="0"/>
          <w:sz w:val="24"/>
          <w:highlight w:val="none"/>
        </w:rPr>
        <w:t>合格。</w:t>
      </w:r>
    </w:p>
    <w:p w14:paraId="279C4BC2">
      <w:pPr>
        <w:numPr>
          <w:ilvl w:val="0"/>
          <w:numId w:val="2"/>
        </w:numPr>
        <w:spacing w:line="520" w:lineRule="exact"/>
        <w:ind w:firstLine="641" w:firstLineChars="266"/>
        <w:rPr>
          <w:rFonts w:ascii="宋体" w:hAnsi="宋体" w:eastAsia="宋体" w:cs="宋体"/>
          <w:color w:val="auto"/>
          <w:kern w:val="0"/>
          <w:sz w:val="24"/>
          <w:highlight w:val="none"/>
        </w:rPr>
      </w:pPr>
      <w:r>
        <w:rPr>
          <w:rFonts w:hint="eastAsia" w:ascii="宋体" w:hAnsi="宋体" w:eastAsia="宋体" w:cs="宋体"/>
          <w:b/>
          <w:bCs/>
          <w:color w:val="auto"/>
          <w:kern w:val="0"/>
          <w:sz w:val="24"/>
          <w:highlight w:val="none"/>
        </w:rPr>
        <w:t>质保期：</w:t>
      </w:r>
      <w:r>
        <w:rPr>
          <w:rFonts w:hint="eastAsia" w:ascii="宋体" w:hAnsi="宋体" w:eastAsia="宋体" w:cs="宋体"/>
          <w:b w:val="0"/>
          <w:bCs w:val="0"/>
          <w:color w:val="auto"/>
          <w:kern w:val="0"/>
          <w:sz w:val="24"/>
          <w:highlight w:val="none"/>
        </w:rPr>
        <w:t>正式验收合格之日起24个月。</w:t>
      </w:r>
    </w:p>
    <w:p w14:paraId="11C222B1">
      <w:pPr>
        <w:spacing w:line="520" w:lineRule="exact"/>
        <w:ind w:firstLine="641" w:firstLineChars="266"/>
        <w:rPr>
          <w:rFonts w:ascii="宋体" w:hAnsi="宋体" w:eastAsia="宋体" w:cs="宋体"/>
          <w:b/>
          <w:bCs/>
          <w:color w:val="auto"/>
          <w:sz w:val="24"/>
          <w:highlight w:val="none"/>
        </w:rPr>
      </w:pPr>
      <w:r>
        <w:rPr>
          <w:rFonts w:hint="eastAsia" w:ascii="宋体" w:hAnsi="宋体" w:eastAsia="宋体" w:cs="宋体"/>
          <w:b/>
          <w:bCs/>
          <w:color w:val="auto"/>
          <w:sz w:val="24"/>
          <w:highlight w:val="none"/>
        </w:rPr>
        <w:t>七、投标资格要求</w:t>
      </w:r>
    </w:p>
    <w:p w14:paraId="1C68118A">
      <w:pPr>
        <w:spacing w:line="520" w:lineRule="exact"/>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7.1、基本资格条件：</w:t>
      </w:r>
    </w:p>
    <w:p w14:paraId="11D51E9B">
      <w:pPr>
        <w:widowControl/>
        <w:spacing w:line="520" w:lineRule="exact"/>
        <w:ind w:firstLine="472" w:firstLineChars="200"/>
        <w:rPr>
          <w:rFonts w:ascii="宋体" w:hAnsi="宋体" w:eastAsia="宋体" w:cs="宋体"/>
          <w:color w:val="auto"/>
          <w:spacing w:val="-2"/>
          <w:kern w:val="0"/>
          <w:sz w:val="24"/>
          <w:highlight w:val="none"/>
        </w:rPr>
      </w:pPr>
      <w:r>
        <w:rPr>
          <w:rFonts w:hint="eastAsia" w:ascii="宋体" w:hAnsi="宋体" w:eastAsia="宋体" w:cs="宋体"/>
          <w:color w:val="auto"/>
          <w:spacing w:val="-2"/>
          <w:kern w:val="0"/>
          <w:sz w:val="24"/>
          <w:highlight w:val="none"/>
        </w:rPr>
        <w:t>（1）法人提交企业法人营业执照副本(或者法人登记证书)以及组织机构代码证副本复印件；</w:t>
      </w:r>
    </w:p>
    <w:p w14:paraId="2A31CD4C">
      <w:pPr>
        <w:widowControl/>
        <w:spacing w:line="520" w:lineRule="exact"/>
        <w:ind w:firstLine="472" w:firstLineChars="200"/>
        <w:rPr>
          <w:rFonts w:ascii="宋体" w:hAnsi="宋体" w:eastAsia="宋体" w:cs="宋体"/>
          <w:color w:val="auto"/>
          <w:spacing w:val="-2"/>
          <w:kern w:val="0"/>
          <w:sz w:val="24"/>
          <w:highlight w:val="none"/>
        </w:rPr>
      </w:pPr>
      <w:r>
        <w:rPr>
          <w:rFonts w:hint="eastAsia" w:ascii="宋体" w:hAnsi="宋体" w:eastAsia="宋体" w:cs="宋体"/>
          <w:color w:val="auto"/>
          <w:spacing w:val="-2"/>
          <w:kern w:val="0"/>
          <w:sz w:val="24"/>
          <w:highlight w:val="none"/>
        </w:rPr>
        <w:t>（2）依法缴纳税收的证明材料，提供下列材料之一：</w:t>
      </w:r>
    </w:p>
    <w:p w14:paraId="5AB5345F">
      <w:pPr>
        <w:widowControl/>
        <w:spacing w:line="520" w:lineRule="exact"/>
        <w:ind w:firstLine="472" w:firstLineChars="200"/>
        <w:rPr>
          <w:rFonts w:ascii="宋体" w:hAnsi="宋体" w:eastAsia="宋体" w:cs="宋体"/>
          <w:color w:val="auto"/>
          <w:spacing w:val="-2"/>
          <w:kern w:val="0"/>
          <w:sz w:val="24"/>
          <w:highlight w:val="none"/>
        </w:rPr>
      </w:pPr>
      <w:r>
        <w:rPr>
          <w:rFonts w:hint="eastAsia" w:ascii="宋体" w:hAnsi="宋体" w:eastAsia="宋体" w:cs="宋体"/>
          <w:color w:val="auto"/>
          <w:spacing w:val="-2"/>
          <w:kern w:val="0"/>
          <w:sz w:val="24"/>
          <w:highlight w:val="none"/>
        </w:rPr>
        <w:t>缴纳税收证明资料：《税务登记证》复印件，或者近三个月内任意一个月（2025年</w:t>
      </w:r>
      <w:r>
        <w:rPr>
          <w:rFonts w:hint="eastAsia" w:ascii="宋体" w:hAnsi="宋体" w:eastAsia="宋体" w:cs="宋体"/>
          <w:color w:val="auto"/>
          <w:spacing w:val="-2"/>
          <w:kern w:val="0"/>
          <w:sz w:val="24"/>
          <w:highlight w:val="none"/>
          <w:lang w:val="en-US" w:eastAsia="zh-CN"/>
        </w:rPr>
        <w:t>5</w:t>
      </w:r>
      <w:r>
        <w:rPr>
          <w:rFonts w:hint="eastAsia" w:ascii="宋体" w:hAnsi="宋体" w:eastAsia="宋体" w:cs="宋体"/>
          <w:color w:val="auto"/>
          <w:spacing w:val="-2"/>
          <w:kern w:val="0"/>
          <w:sz w:val="24"/>
          <w:highlight w:val="none"/>
        </w:rPr>
        <w:t>月至2025年</w:t>
      </w:r>
      <w:r>
        <w:rPr>
          <w:rFonts w:hint="eastAsia" w:ascii="宋体" w:hAnsi="宋体" w:eastAsia="宋体" w:cs="宋体"/>
          <w:color w:val="auto"/>
          <w:spacing w:val="-2"/>
          <w:kern w:val="0"/>
          <w:sz w:val="24"/>
          <w:highlight w:val="none"/>
          <w:lang w:val="en-US" w:eastAsia="zh-CN"/>
        </w:rPr>
        <w:t>7</w:t>
      </w:r>
      <w:r>
        <w:rPr>
          <w:rFonts w:hint="eastAsia" w:ascii="宋体" w:hAnsi="宋体" w:eastAsia="宋体" w:cs="宋体"/>
          <w:color w:val="auto"/>
          <w:spacing w:val="-2"/>
          <w:kern w:val="0"/>
          <w:sz w:val="24"/>
          <w:highlight w:val="none"/>
        </w:rPr>
        <w:t>月）依法缴纳税收的证明（纳税凭证复印件），或者委托他人缴纳的委托代办协议和近三个月内任意一个月（2025年</w:t>
      </w:r>
      <w:r>
        <w:rPr>
          <w:rFonts w:hint="eastAsia" w:ascii="宋体" w:hAnsi="宋体" w:eastAsia="宋体" w:cs="宋体"/>
          <w:color w:val="auto"/>
          <w:spacing w:val="-2"/>
          <w:kern w:val="0"/>
          <w:sz w:val="24"/>
          <w:highlight w:val="none"/>
          <w:lang w:val="en-US" w:eastAsia="zh-CN"/>
        </w:rPr>
        <w:t>5</w:t>
      </w:r>
      <w:r>
        <w:rPr>
          <w:rFonts w:hint="eastAsia" w:ascii="宋体" w:hAnsi="宋体" w:eastAsia="宋体" w:cs="宋体"/>
          <w:color w:val="auto"/>
          <w:spacing w:val="-2"/>
          <w:kern w:val="0"/>
          <w:sz w:val="24"/>
          <w:highlight w:val="none"/>
        </w:rPr>
        <w:t>月至2025年</w:t>
      </w:r>
      <w:r>
        <w:rPr>
          <w:rFonts w:hint="eastAsia" w:ascii="宋体" w:hAnsi="宋体" w:eastAsia="宋体" w:cs="宋体"/>
          <w:color w:val="auto"/>
          <w:spacing w:val="-2"/>
          <w:kern w:val="0"/>
          <w:sz w:val="24"/>
          <w:highlight w:val="none"/>
          <w:lang w:val="en-US" w:eastAsia="zh-CN"/>
        </w:rPr>
        <w:t>7</w:t>
      </w:r>
      <w:r>
        <w:rPr>
          <w:rFonts w:hint="eastAsia" w:ascii="宋体" w:hAnsi="宋体" w:eastAsia="宋体" w:cs="宋体"/>
          <w:color w:val="auto"/>
          <w:spacing w:val="-2"/>
          <w:kern w:val="0"/>
          <w:sz w:val="24"/>
          <w:highlight w:val="none"/>
        </w:rPr>
        <w:t>月）的缴纳证明（收据复印件），或者法定征收机关出具的依法免缴税收的证明原件。</w:t>
      </w:r>
    </w:p>
    <w:p w14:paraId="102888D0">
      <w:pPr>
        <w:widowControl/>
        <w:spacing w:line="520" w:lineRule="exact"/>
        <w:ind w:firstLine="472" w:firstLineChars="200"/>
        <w:rPr>
          <w:rFonts w:ascii="宋体" w:hAnsi="宋体" w:eastAsia="宋体" w:cs="宋体"/>
          <w:color w:val="auto"/>
          <w:spacing w:val="-2"/>
          <w:kern w:val="0"/>
          <w:sz w:val="24"/>
          <w:highlight w:val="none"/>
        </w:rPr>
      </w:pPr>
      <w:r>
        <w:rPr>
          <w:rFonts w:hint="eastAsia" w:ascii="宋体" w:hAnsi="宋体" w:eastAsia="宋体" w:cs="宋体"/>
          <w:color w:val="auto"/>
          <w:spacing w:val="-2"/>
          <w:kern w:val="0"/>
          <w:sz w:val="24"/>
          <w:highlight w:val="none"/>
        </w:rPr>
        <w:t>（3）法定代表人提交法定代表人身份证明，或者法定代表人授权委托人提交附有法定代表人身份证明的授权委托书及被授权人在投标人近三个月内任意一个月的社保证明；</w:t>
      </w:r>
    </w:p>
    <w:p w14:paraId="248A254B">
      <w:pPr>
        <w:widowControl/>
        <w:spacing w:line="520" w:lineRule="exact"/>
        <w:ind w:firstLine="472" w:firstLineChars="200"/>
        <w:rPr>
          <w:rFonts w:ascii="宋体" w:hAnsi="宋体" w:eastAsia="宋体" w:cs="宋体"/>
          <w:color w:val="auto"/>
          <w:spacing w:val="-2"/>
          <w:kern w:val="0"/>
          <w:sz w:val="24"/>
          <w:highlight w:val="none"/>
        </w:rPr>
      </w:pPr>
      <w:r>
        <w:rPr>
          <w:rFonts w:hint="eastAsia" w:ascii="宋体" w:hAnsi="宋体" w:eastAsia="宋体" w:cs="宋体"/>
          <w:color w:val="auto"/>
          <w:spacing w:val="-2"/>
          <w:kern w:val="0"/>
          <w:sz w:val="24"/>
          <w:highlight w:val="none"/>
        </w:rPr>
        <w:t>注：投标人具有实行了“三证合一”登记制度改革的新证，视同为持有工商营业执照、组织机构代码证和税务登记证，符合基本资格条件的相关条款。</w:t>
      </w:r>
    </w:p>
    <w:p w14:paraId="780A7127">
      <w:pPr>
        <w:widowControl/>
        <w:shd w:val="clear" w:color="auto" w:fill="FFFFFF"/>
        <w:spacing w:line="520" w:lineRule="exact"/>
        <w:ind w:firstLine="474" w:firstLineChars="200"/>
        <w:rPr>
          <w:rFonts w:ascii="宋体" w:hAnsi="宋体" w:eastAsia="宋体" w:cs="宋体"/>
          <w:b/>
          <w:bCs/>
          <w:color w:val="auto"/>
          <w:spacing w:val="-2"/>
          <w:kern w:val="0"/>
          <w:sz w:val="24"/>
          <w:highlight w:val="none"/>
        </w:rPr>
      </w:pPr>
      <w:r>
        <w:rPr>
          <w:rFonts w:hint="eastAsia" w:ascii="宋体" w:hAnsi="宋体" w:eastAsia="宋体" w:cs="宋体"/>
          <w:b/>
          <w:bCs/>
          <w:color w:val="auto"/>
          <w:spacing w:val="-2"/>
          <w:kern w:val="0"/>
          <w:sz w:val="24"/>
          <w:highlight w:val="none"/>
        </w:rPr>
        <w:t>7.2、特定资格条件：</w:t>
      </w:r>
      <w:r>
        <w:rPr>
          <w:rFonts w:hint="eastAsia" w:ascii="宋体" w:hAnsi="宋体" w:eastAsia="宋体" w:cs="宋体"/>
          <w:b/>
          <w:bCs/>
          <w:color w:val="auto"/>
          <w:spacing w:val="-2"/>
          <w:sz w:val="24"/>
          <w:highlight w:val="none"/>
        </w:rPr>
        <w:t>无。</w:t>
      </w:r>
    </w:p>
    <w:p w14:paraId="6774E475">
      <w:pPr>
        <w:widowControl/>
        <w:spacing w:line="520" w:lineRule="exact"/>
        <w:ind w:firstLine="474" w:firstLineChars="200"/>
        <w:rPr>
          <w:rFonts w:ascii="宋体" w:hAnsi="宋体" w:eastAsia="宋体" w:cs="宋体"/>
          <w:b/>
          <w:bCs/>
          <w:color w:val="auto"/>
          <w:spacing w:val="-2"/>
          <w:kern w:val="0"/>
          <w:sz w:val="24"/>
          <w:highlight w:val="none"/>
        </w:rPr>
      </w:pPr>
      <w:r>
        <w:rPr>
          <w:rFonts w:hint="eastAsia" w:ascii="宋体" w:hAnsi="宋体" w:eastAsia="宋体" w:cs="宋体"/>
          <w:b/>
          <w:bCs/>
          <w:color w:val="auto"/>
          <w:spacing w:val="-2"/>
          <w:kern w:val="0"/>
          <w:sz w:val="24"/>
          <w:highlight w:val="none"/>
        </w:rPr>
        <w:t>7.3、投标人有下列情形之一的，视为无效投标：</w:t>
      </w:r>
    </w:p>
    <w:p w14:paraId="16B869BE">
      <w:pPr>
        <w:widowControl/>
        <w:spacing w:line="520" w:lineRule="exact"/>
        <w:ind w:firstLine="472" w:firstLineChars="200"/>
        <w:rPr>
          <w:rFonts w:ascii="宋体" w:hAnsi="宋体" w:eastAsia="宋体" w:cs="宋体"/>
          <w:bCs/>
          <w:color w:val="auto"/>
          <w:spacing w:val="-2"/>
          <w:kern w:val="0"/>
          <w:sz w:val="24"/>
          <w:highlight w:val="none"/>
        </w:rPr>
      </w:pPr>
      <w:r>
        <w:rPr>
          <w:rFonts w:hint="eastAsia" w:ascii="宋体" w:hAnsi="宋体" w:eastAsia="宋体" w:cs="宋体"/>
          <w:bCs/>
          <w:color w:val="auto"/>
          <w:spacing w:val="-2"/>
          <w:kern w:val="0"/>
          <w:sz w:val="24"/>
          <w:highlight w:val="none"/>
        </w:rPr>
        <w:t>（1）有一项资格证明文件未提交的；</w:t>
      </w:r>
    </w:p>
    <w:p w14:paraId="5E8CD105">
      <w:pPr>
        <w:widowControl/>
        <w:spacing w:line="520" w:lineRule="exact"/>
        <w:ind w:firstLine="472" w:firstLineChars="200"/>
        <w:rPr>
          <w:rFonts w:ascii="宋体" w:hAnsi="宋体" w:eastAsia="宋体" w:cs="宋体"/>
          <w:bCs/>
          <w:color w:val="auto"/>
          <w:spacing w:val="-2"/>
          <w:kern w:val="0"/>
          <w:sz w:val="24"/>
          <w:highlight w:val="none"/>
        </w:rPr>
      </w:pPr>
      <w:r>
        <w:rPr>
          <w:rFonts w:hint="eastAsia" w:ascii="宋体" w:hAnsi="宋体" w:eastAsia="宋体" w:cs="宋体"/>
          <w:bCs/>
          <w:color w:val="auto"/>
          <w:spacing w:val="-2"/>
          <w:kern w:val="0"/>
          <w:sz w:val="24"/>
          <w:highlight w:val="none"/>
        </w:rPr>
        <w:t>（2）提供不符合要求或虚假资格证明文件的；</w:t>
      </w:r>
    </w:p>
    <w:p w14:paraId="1BCE924E">
      <w:pPr>
        <w:widowControl/>
        <w:spacing w:line="520" w:lineRule="exact"/>
        <w:ind w:firstLine="472" w:firstLineChars="200"/>
        <w:rPr>
          <w:rFonts w:ascii="宋体" w:hAnsi="宋体" w:eastAsia="宋体" w:cs="宋体"/>
          <w:bCs/>
          <w:color w:val="auto"/>
          <w:spacing w:val="-2"/>
          <w:kern w:val="0"/>
          <w:sz w:val="24"/>
          <w:highlight w:val="none"/>
        </w:rPr>
      </w:pPr>
      <w:r>
        <w:rPr>
          <w:rFonts w:hint="eastAsia" w:ascii="宋体" w:hAnsi="宋体" w:eastAsia="宋体" w:cs="宋体"/>
          <w:bCs/>
          <w:color w:val="auto"/>
          <w:spacing w:val="-2"/>
          <w:kern w:val="0"/>
          <w:sz w:val="24"/>
          <w:highlight w:val="none"/>
        </w:rPr>
        <w:t>（3）资格证明文件过了有效期的；</w:t>
      </w:r>
    </w:p>
    <w:p w14:paraId="7FE3C1AC">
      <w:pPr>
        <w:widowControl/>
        <w:spacing w:line="520" w:lineRule="exact"/>
        <w:ind w:firstLine="472" w:firstLineChars="200"/>
        <w:rPr>
          <w:rFonts w:ascii="宋体" w:hAnsi="宋体" w:eastAsia="宋体" w:cs="宋体"/>
          <w:bCs/>
          <w:color w:val="auto"/>
          <w:spacing w:val="-2"/>
          <w:sz w:val="24"/>
          <w:highlight w:val="none"/>
        </w:rPr>
      </w:pPr>
      <w:r>
        <w:rPr>
          <w:rFonts w:hint="eastAsia" w:ascii="宋体" w:hAnsi="宋体" w:eastAsia="宋体" w:cs="宋体"/>
          <w:bCs/>
          <w:color w:val="auto"/>
          <w:spacing w:val="-2"/>
          <w:sz w:val="24"/>
          <w:highlight w:val="none"/>
        </w:rPr>
        <w:t>（4）资格证明文件复印件未加盖投标人公章的；</w:t>
      </w:r>
    </w:p>
    <w:p w14:paraId="00ACABD8">
      <w:pPr>
        <w:widowControl/>
        <w:spacing w:line="520" w:lineRule="exact"/>
        <w:ind w:firstLine="320" w:firstLineChars="135"/>
        <w:rPr>
          <w:rFonts w:ascii="宋体" w:hAnsi="宋体" w:eastAsia="宋体" w:cs="宋体"/>
          <w:color w:val="auto"/>
          <w:sz w:val="24"/>
          <w:highlight w:val="none"/>
        </w:rPr>
      </w:pPr>
      <w:r>
        <w:rPr>
          <w:rFonts w:hint="eastAsia" w:ascii="宋体" w:hAnsi="宋体" w:eastAsia="宋体" w:cs="宋体"/>
          <w:b/>
          <w:bCs/>
          <w:color w:val="auto"/>
          <w:spacing w:val="-2"/>
          <w:sz w:val="24"/>
          <w:highlight w:val="none"/>
        </w:rPr>
        <w:t>八、</w:t>
      </w:r>
      <w:bookmarkStart w:id="5" w:name="OLE_LINK2"/>
      <w:r>
        <w:rPr>
          <w:rFonts w:hint="eastAsia" w:ascii="宋体" w:hAnsi="宋体" w:eastAsia="宋体" w:cs="宋体"/>
          <w:b/>
          <w:bCs/>
          <w:color w:val="auto"/>
          <w:spacing w:val="-2"/>
          <w:sz w:val="24"/>
          <w:highlight w:val="none"/>
        </w:rPr>
        <w:t>采购上限价</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286420.30</w:t>
      </w:r>
      <w:r>
        <w:rPr>
          <w:rFonts w:hint="eastAsia" w:ascii="宋体" w:hAnsi="宋体" w:eastAsia="宋体" w:cs="宋体"/>
          <w:b/>
          <w:bCs/>
          <w:color w:val="auto"/>
          <w:sz w:val="24"/>
          <w:highlight w:val="none"/>
        </w:rPr>
        <w:t>元（总价和单价均不得超采购清单价，否则作否决投标处理）</w:t>
      </w:r>
      <w:r>
        <w:rPr>
          <w:rFonts w:hint="eastAsia" w:ascii="宋体" w:hAnsi="宋体" w:eastAsia="宋体" w:cs="宋体"/>
          <w:color w:val="auto"/>
          <w:sz w:val="24"/>
          <w:highlight w:val="none"/>
        </w:rPr>
        <w:t>。</w:t>
      </w:r>
      <w:bookmarkEnd w:id="5"/>
    </w:p>
    <w:p w14:paraId="57463B42">
      <w:pPr>
        <w:spacing w:line="520" w:lineRule="exact"/>
        <w:ind w:firstLine="325" w:firstLineChars="135"/>
        <w:rPr>
          <w:rFonts w:ascii="宋体" w:hAnsi="宋体" w:eastAsia="宋体" w:cs="宋体"/>
          <w:b/>
          <w:color w:val="auto"/>
          <w:sz w:val="24"/>
          <w:highlight w:val="none"/>
        </w:rPr>
      </w:pPr>
      <w:r>
        <w:rPr>
          <w:rFonts w:hint="eastAsia" w:ascii="宋体" w:hAnsi="宋体" w:eastAsia="宋体" w:cs="宋体"/>
          <w:b/>
          <w:color w:val="auto"/>
          <w:sz w:val="24"/>
          <w:highlight w:val="none"/>
        </w:rPr>
        <w:t>九、9.1、交货地点：投标人按要求将货品送至招标人指定地点，并保留全程验收视频资料。</w:t>
      </w:r>
    </w:p>
    <w:p w14:paraId="5AAC51ED">
      <w:pPr>
        <w:spacing w:line="520" w:lineRule="exact"/>
        <w:ind w:firstLine="325" w:firstLineChars="135"/>
        <w:rPr>
          <w:rFonts w:ascii="宋体" w:hAnsi="宋体" w:eastAsia="宋体" w:cs="宋体"/>
          <w:b/>
          <w:color w:val="auto"/>
          <w:sz w:val="24"/>
          <w:highlight w:val="none"/>
        </w:rPr>
      </w:pPr>
      <w:r>
        <w:rPr>
          <w:rFonts w:hint="eastAsia" w:ascii="宋体" w:hAnsi="宋体" w:eastAsia="宋体" w:cs="宋体"/>
          <w:b/>
          <w:color w:val="auto"/>
          <w:sz w:val="24"/>
          <w:highlight w:val="none"/>
        </w:rPr>
        <w:t>9.2、付款方式：</w:t>
      </w:r>
      <w:bookmarkStart w:id="6" w:name="_Toc359570304"/>
      <w:bookmarkStart w:id="7" w:name="_Toc401742306"/>
    </w:p>
    <w:p w14:paraId="392FAACC">
      <w:pPr>
        <w:keepNext w:val="0"/>
        <w:keepLines w:val="0"/>
        <w:pageBreakBefore w:val="0"/>
        <w:kinsoku/>
        <w:wordWrap/>
        <w:overflowPunct/>
        <w:topLinePunct w:val="0"/>
        <w:autoSpaceDE/>
        <w:autoSpaceDN/>
        <w:bidi w:val="0"/>
        <w:snapToGrid/>
        <w:spacing w:line="520" w:lineRule="exact"/>
        <w:ind w:left="0" w:leftChars="0" w:firstLine="324" w:firstLineChars="135"/>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1、完成安装并接通运行后进行预验收，预验收三个月后进行正式验收，正式验收合格支付合同总价的60%；完成结算审定后，付至审定金额的95%。</w:t>
      </w:r>
    </w:p>
    <w:p w14:paraId="472BF6AD">
      <w:pPr>
        <w:keepNext w:val="0"/>
        <w:keepLines w:val="0"/>
        <w:pageBreakBefore w:val="0"/>
        <w:kinsoku/>
        <w:wordWrap/>
        <w:overflowPunct/>
        <w:topLinePunct w:val="0"/>
        <w:autoSpaceDE/>
        <w:autoSpaceDN/>
        <w:bidi w:val="0"/>
        <w:snapToGrid/>
        <w:spacing w:line="520" w:lineRule="exact"/>
        <w:ind w:left="0" w:leftChars="0" w:firstLine="324" w:firstLineChars="135"/>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2、质量保证金按采购安装结算金额的5%提取，待缺陷责任期满后确认无质量问题1月内退还（不计息）。</w:t>
      </w:r>
    </w:p>
    <w:p w14:paraId="4B18CEDC">
      <w:pPr>
        <w:keepNext w:val="0"/>
        <w:keepLines w:val="0"/>
        <w:pageBreakBefore w:val="0"/>
        <w:kinsoku/>
        <w:wordWrap/>
        <w:overflowPunct/>
        <w:topLinePunct w:val="0"/>
        <w:autoSpaceDE/>
        <w:autoSpaceDN/>
        <w:bidi w:val="0"/>
        <w:snapToGrid/>
        <w:spacing w:line="520" w:lineRule="exact"/>
        <w:ind w:left="0" w:leftChars="0" w:firstLine="325" w:firstLineChars="135"/>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val="en-US" w:eastAsia="zh-CN"/>
        </w:rPr>
        <w:t>9.3、供货要求及相关标准</w:t>
      </w:r>
      <w:r>
        <w:rPr>
          <w:rFonts w:hint="eastAsia" w:ascii="宋体" w:hAnsi="宋体" w:eastAsia="宋体" w:cs="宋体"/>
          <w:b/>
          <w:color w:val="auto"/>
          <w:sz w:val="24"/>
          <w:szCs w:val="24"/>
          <w:highlight w:val="none"/>
          <w:lang w:eastAsia="zh-CN"/>
        </w:rPr>
        <w:t>：</w:t>
      </w:r>
    </w:p>
    <w:p w14:paraId="2B0AA8FA">
      <w:pPr>
        <w:numPr>
          <w:ilvl w:val="0"/>
          <w:numId w:val="0"/>
        </w:numPr>
        <w:spacing w:line="520" w:lineRule="exact"/>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道闸及监控设备可无障碍接入浏阳智慧停车云平台统一管理。按照浏阳现行智慧停车平台标准数据传输协议和规范，实时接入停车场相关停车数据，包含实时空位数据、场内车辆数据、停车记录数据、收费数据、车场设备数据、应急处置等内容，实现停车场收费管理现场无人化的目标。</w:t>
      </w:r>
    </w:p>
    <w:p w14:paraId="0B2BA724">
      <w:pPr>
        <w:numPr>
          <w:ilvl w:val="0"/>
          <w:numId w:val="0"/>
        </w:numPr>
        <w:spacing w:line="520" w:lineRule="exact"/>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2、道闸设备在接入平台的前提下，可实现牌照自动识别，收费数据显示，收费管理前后端对接互动等功能，同时具备广告栅栏功能；</w:t>
      </w:r>
    </w:p>
    <w:p w14:paraId="1FE8B8BB">
      <w:pPr>
        <w:numPr>
          <w:ilvl w:val="0"/>
          <w:numId w:val="0"/>
        </w:numPr>
        <w:spacing w:line="520" w:lineRule="exact"/>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3、监控设备可与现行平台和监控中心无缝对接，实现停车场画面动态更新管理；</w:t>
      </w:r>
    </w:p>
    <w:p w14:paraId="5E46899F">
      <w:pPr>
        <w:numPr>
          <w:ilvl w:val="0"/>
          <w:numId w:val="0"/>
        </w:numPr>
        <w:spacing w:line="520" w:lineRule="exact"/>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4、如不能对接，产生的任何费用及停车场延期收费等造成的一切损失由中标供应商承担。</w:t>
      </w:r>
    </w:p>
    <w:p w14:paraId="6995B719">
      <w:pPr>
        <w:numPr>
          <w:ilvl w:val="0"/>
          <w:numId w:val="0"/>
        </w:numPr>
        <w:spacing w:line="520" w:lineRule="exact"/>
        <w:ind w:firstLine="482" w:firstLineChars="200"/>
        <w:rPr>
          <w:rFonts w:ascii="宋体" w:hAnsi="宋体" w:eastAsia="宋体" w:cs="宋体"/>
          <w:b/>
          <w:color w:val="auto"/>
          <w:sz w:val="24"/>
          <w:highlight w:val="none"/>
        </w:rPr>
      </w:pPr>
      <w:r>
        <w:rPr>
          <w:rFonts w:hint="eastAsia" w:ascii="宋体" w:hAnsi="宋体" w:eastAsia="宋体" w:cs="宋体"/>
          <w:b/>
          <w:color w:val="auto"/>
          <w:sz w:val="24"/>
          <w:highlight w:val="none"/>
        </w:rPr>
        <w:t>十、其他要求：</w:t>
      </w:r>
    </w:p>
    <w:p w14:paraId="1E0C8268">
      <w:pPr>
        <w:adjustRightInd w:val="0"/>
        <w:spacing w:line="520" w:lineRule="exact"/>
        <w:ind w:firstLine="482" w:firstLineChars="200"/>
        <w:rPr>
          <w:rFonts w:ascii="宋体" w:hAnsi="宋体" w:eastAsia="宋体" w:cs="宋体"/>
          <w:color w:val="auto"/>
          <w:sz w:val="24"/>
          <w:highlight w:val="none"/>
        </w:rPr>
      </w:pPr>
      <w:r>
        <w:rPr>
          <w:rFonts w:hint="eastAsia" w:ascii="宋体" w:hAnsi="宋体" w:eastAsia="宋体" w:cs="宋体"/>
          <w:b/>
          <w:color w:val="auto"/>
          <w:sz w:val="24"/>
          <w:highlight w:val="none"/>
        </w:rPr>
        <w:t>10.1、</w:t>
      </w:r>
      <w:r>
        <w:rPr>
          <w:rFonts w:hint="eastAsia" w:ascii="宋体" w:hAnsi="宋体" w:eastAsia="宋体" w:cs="宋体"/>
          <w:color w:val="auto"/>
          <w:sz w:val="24"/>
          <w:highlight w:val="none"/>
        </w:rPr>
        <w:t>验收</w:t>
      </w:r>
    </w:p>
    <w:p w14:paraId="198694BA">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 xml:space="preserve">（1）进场货物验收。材料、构配件、设备到货后48小时内，现场管理代表、监理工程师（如有）应根据图纸， 采购合同、技术参数等对货物进行检验检验达标并逐项签字确认后，货物才能进行安装；检验不达标的，供货人应及时将货物进行清退。 </w:t>
      </w:r>
    </w:p>
    <w:p w14:paraId="7988F5BC">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（2）隐蔽工程验收。采购项目涉及隐蔽工程验收和计量的应按照建设工程的管理规定，对隐蔽工程进行验收和计量后， 才能进行覆盖，以及下一道工序施工。</w:t>
      </w:r>
    </w:p>
    <w:p w14:paraId="78F4781B">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 xml:space="preserve">（3）项目完工后，应组织进行预验收，成立验收小组。按照采购合同、招标文件、投标文件、封存样品(如有)、图纸、清单等进行验收。验收合格的，签署预验收合格证明 ；验收不合格的.要求限期整改，直至合格为止。 </w:t>
      </w:r>
    </w:p>
    <w:p w14:paraId="14DC8D2A">
      <w:pPr>
        <w:adjustRightInd w:val="0"/>
        <w:spacing w:line="52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highlight w:val="none"/>
        </w:rPr>
        <w:t>（4）</w:t>
      </w:r>
      <w:r>
        <w:rPr>
          <w:rFonts w:hint="eastAsia" w:ascii="宋体" w:hAnsi="宋体" w:eastAsia="宋体" w:cs="宋体"/>
          <w:color w:val="auto"/>
          <w:sz w:val="24"/>
          <w:szCs w:val="24"/>
          <w:highlight w:val="none"/>
          <w:lang w:val="en-US" w:eastAsia="zh-CN"/>
        </w:rPr>
        <w:t>试运行验收，试运行3个月。试运行合格后，由使用部门签署试运行合格记录；试运行不合格的，要求限期整改，直至合格为止。</w:t>
      </w:r>
      <w:r>
        <w:rPr>
          <w:rFonts w:hint="eastAsia" w:ascii="宋体" w:hAnsi="宋体" w:eastAsia="宋体" w:cs="宋体"/>
          <w:color w:val="auto"/>
          <w:sz w:val="24"/>
          <w:szCs w:val="24"/>
          <w:highlight w:val="none"/>
          <w:lang w:val="en-US" w:eastAsia="zh-CN"/>
        </w:rPr>
        <w:tab/>
      </w:r>
    </w:p>
    <w:p w14:paraId="27C32B31">
      <w:pPr>
        <w:keepNext w:val="0"/>
        <w:keepLines w:val="0"/>
        <w:pageBreakBefore w:val="0"/>
        <w:kinsoku/>
        <w:wordWrap/>
        <w:overflowPunct/>
        <w:topLinePunct w:val="0"/>
        <w:autoSpaceDE/>
        <w:autoSpaceDN/>
        <w:bidi w:val="0"/>
        <w:adjustRightInd w:val="0"/>
        <w:snapToGrid/>
        <w:spacing w:line="5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（5）正式验收，采购项目预验收和试运行期满合格后，应组织正式验收，并签署正式验收证书。</w:t>
      </w:r>
    </w:p>
    <w:p w14:paraId="3E70FFEE">
      <w:pPr>
        <w:adjustRightInd w:val="0"/>
        <w:spacing w:line="520" w:lineRule="exact"/>
        <w:ind w:firstLine="482" w:firstLineChars="200"/>
        <w:rPr>
          <w:rFonts w:ascii="宋体" w:hAnsi="宋体" w:eastAsia="宋体" w:cs="宋体"/>
          <w:color w:val="auto"/>
          <w:sz w:val="24"/>
          <w:highlight w:val="none"/>
        </w:rPr>
      </w:pPr>
      <w:r>
        <w:rPr>
          <w:rFonts w:hint="eastAsia" w:ascii="宋体" w:hAnsi="宋体" w:eastAsia="宋体" w:cs="宋体"/>
          <w:b/>
          <w:color w:val="auto"/>
          <w:sz w:val="24"/>
          <w:highlight w:val="none"/>
        </w:rPr>
        <w:t>10.2、</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质保及售后服务</w:t>
      </w:r>
    </w:p>
    <w:p w14:paraId="091A479B">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10.2.1质保期内出现任何质量问题（人为破坏或自然灾害等不可抗力除外），由中标人负责限期内全免费（免全部工时费、辅材费、材料费、交通费、管理费、财务费等等）更换或维修；并负责由此带来的全部损失。更换零配件的，零配件的质保期从更换之日起重新计算。</w:t>
      </w:r>
    </w:p>
    <w:p w14:paraId="4ACA9562">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10.2.2质保期内，所供产品出现质量问题，中标人收到招标人通知2小时内给予解决方案，24小时内到现场， 重大问题或其他无法立刻解决的问题应在12小时内解决或提出明确解决方案，如因中标人原因不能及时解决，保修期顺延；如中标人收到招标人通知未做出处理的，招标人可以自行组织维修，所产生的费用全部由中标人承担，</w:t>
      </w:r>
    </w:p>
    <w:p w14:paraId="7C4395ED">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10.2.3在质保期内，所投产品如出现性能严重偏差或重大质量问题等情况，招标人可要求无条件退货或更换同品牌、同型号全新产品，由此给招标人造成的损失由中标人承担。</w:t>
      </w:r>
    </w:p>
    <w:p w14:paraId="19005C6C">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10.2.4质保期内因中标人原因导致修理期超过15日的，中标人应免费更换同型号同规格产品，且延长相应时长的质保期；</w:t>
      </w:r>
    </w:p>
    <w:p w14:paraId="4FC8ECD0">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10.2..5在质保期内，同一产品、同一质量问题连续两次维修仍无法正常使用或者质保期内出现3次故障的，中标人必须无条件的免费予以更换同品牌、同型号全新产品，并承担因此而产生的一切费用。</w:t>
      </w:r>
    </w:p>
    <w:p w14:paraId="3E03B66A">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10.2.6质保期满后，设备终身维修，售后服务只收配件成本费；无论招标人是否另行选择维保供应商，中标人应及时优惠提供所需的备品备件。</w:t>
      </w:r>
    </w:p>
    <w:p w14:paraId="161DC252">
      <w:pPr>
        <w:adjustRightIn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10.3、本项目采用全费用综合包干单价方式建设，投标人应根据项目要求和现场情况，详细列明项目所需的设备及材料购置、产品运输保险保管、安装调试、通过验收、培训、质保期免费保修维护等所有人工、管理、财务、税金、政策性文件规定及合同包含的所有风险、责任等各项所有应有费用以及投标人认为需要的其它费用等一切费用；并应包含从项目中标起到验收止(含保修期）所发生的一切费用。如一旦中标，在项目实施中出现任何遗漏，均由投标人免费提供，招标人不再支付其他任何费用。</w:t>
      </w:r>
    </w:p>
    <w:p w14:paraId="07D4ED89">
      <w:pPr>
        <w:spacing w:after="120" w:line="520" w:lineRule="exact"/>
        <w:ind w:firstLine="480" w:firstLineChars="200"/>
        <w:rPr>
          <w:rFonts w:ascii="宋体" w:hAnsi="宋体" w:eastAsia="宋体" w:cs="宋体"/>
          <w:b/>
          <w:color w:val="auto"/>
          <w:sz w:val="24"/>
          <w:highlight w:val="none"/>
        </w:rPr>
      </w:pPr>
      <w:r>
        <w:rPr>
          <w:rFonts w:hint="eastAsia" w:ascii="宋体" w:hAnsi="宋体" w:eastAsia="宋体" w:cs="宋体"/>
          <w:color w:val="auto"/>
          <w:sz w:val="24"/>
          <w:highlight w:val="none"/>
        </w:rPr>
        <w:t>10.4、所有参与项目的工作人员一切安全责任由中标人承担。</w:t>
      </w:r>
      <w:bookmarkEnd w:id="6"/>
      <w:bookmarkEnd w:id="7"/>
    </w:p>
    <w:p w14:paraId="3ACDFF06">
      <w:pPr>
        <w:spacing w:line="520" w:lineRule="exact"/>
        <w:rPr>
          <w:rFonts w:ascii="宋体" w:hAnsi="宋体" w:eastAsia="宋体" w:cs="宋体"/>
          <w:b/>
          <w:bCs/>
          <w:color w:val="auto"/>
          <w:sz w:val="24"/>
          <w:highlight w:val="none"/>
        </w:rPr>
      </w:pPr>
      <w:r>
        <w:rPr>
          <w:rFonts w:hint="eastAsia" w:ascii="宋体" w:hAnsi="宋体" w:eastAsia="宋体" w:cs="宋体"/>
          <w:b/>
          <w:bCs/>
          <w:color w:val="auto"/>
          <w:sz w:val="24"/>
          <w:highlight w:val="none"/>
        </w:rPr>
        <w:t>十一、投标文件的编制、密封、递交</w:t>
      </w:r>
    </w:p>
    <w:p w14:paraId="6D3EFAA1">
      <w:pPr>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1、投标文件组成</w:t>
      </w:r>
    </w:p>
    <w:p w14:paraId="227D3B35">
      <w:pPr>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（1）封面：包括采购项目名称、投标人名称、法定代表人或其委托代理人签名、日期</w:t>
      </w:r>
    </w:p>
    <w:p w14:paraId="4BD914FA">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（2）投标函</w:t>
      </w:r>
    </w:p>
    <w:p w14:paraId="4B13B068">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（3）投标承诺汇总表及分项报价表</w:t>
      </w:r>
    </w:p>
    <w:p w14:paraId="182E0E60">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（4）货物/服务说明</w:t>
      </w:r>
    </w:p>
    <w:p w14:paraId="6D380711">
      <w:pPr>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（5）商务技术响应/偏离表</w:t>
      </w:r>
    </w:p>
    <w:p w14:paraId="09FE32A9">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（6）法定代表人身份证明及授权委托书（如有）</w:t>
      </w:r>
    </w:p>
    <w:p w14:paraId="1FC04FA1">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（7）投标人基本情况表及资格审查资料</w:t>
      </w:r>
    </w:p>
    <w:p w14:paraId="38DB407F">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（8）投标人认为需要提供的其它资料</w:t>
      </w:r>
    </w:p>
    <w:p w14:paraId="201AFA56">
      <w:pPr>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投标文件一式叁份，正本一份，副本贰份，必须采用胶装方式装订，在投标文件封页右上角注明“正本”或“副本”，（正本和副本如有不一致之处，以正本为准），并用密封袋密封后提交，密封袋上须加盖投标人印章。</w:t>
      </w:r>
      <w:r>
        <w:rPr>
          <w:rFonts w:hint="eastAsia" w:ascii="宋体" w:hAnsi="宋体" w:eastAsia="宋体" w:cs="宋体"/>
          <w:b/>
          <w:color w:val="auto"/>
          <w:sz w:val="24"/>
          <w:highlight w:val="none"/>
          <w:u w:val="single"/>
        </w:rPr>
        <w:t xml:space="preserve">另须提供电子文件一份(采用U盘形式，并标注投标人名称)，电子文件应为投标文件签章后的扫描件，格式为PDF。 </w:t>
      </w:r>
    </w:p>
    <w:p w14:paraId="3E5C1E1A">
      <w:pPr>
        <w:spacing w:line="520" w:lineRule="exact"/>
        <w:rPr>
          <w:rFonts w:ascii="宋体" w:hAnsi="宋体" w:eastAsia="宋体" w:cs="宋体"/>
          <w:b/>
          <w:color w:val="auto"/>
          <w:sz w:val="24"/>
          <w:highlight w:val="none"/>
        </w:rPr>
      </w:pPr>
      <w:r>
        <w:rPr>
          <w:rFonts w:hint="eastAsia" w:ascii="宋体" w:hAnsi="宋体" w:eastAsia="宋体" w:cs="宋体"/>
          <w:b/>
          <w:color w:val="auto"/>
          <w:sz w:val="24"/>
          <w:highlight w:val="none"/>
        </w:rPr>
        <w:t>十二、投标文件递交</w:t>
      </w:r>
    </w:p>
    <w:p w14:paraId="3F377CA4">
      <w:pPr>
        <w:spacing w:line="5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     开标时间及投标截止时间定为：</w:t>
      </w:r>
      <w:r>
        <w:rPr>
          <w:rFonts w:hint="eastAsia" w:ascii="宋体" w:hAnsi="宋体" w:eastAsia="宋体" w:cs="宋体"/>
          <w:color w:val="auto"/>
          <w:sz w:val="24"/>
          <w:highlight w:val="none"/>
          <w:u w:val="single"/>
        </w:rPr>
        <w:t>2025</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9</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lang w:val="en-US" w:eastAsia="zh-CN"/>
        </w:rPr>
        <w:t xml:space="preserve"> 1</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r>
        <w:rPr>
          <w:rFonts w:hint="eastAsia" w:ascii="宋体" w:hAnsi="宋体" w:eastAsia="宋体" w:cs="宋体"/>
          <w:color w:val="auto"/>
          <w:sz w:val="24"/>
          <w:highlight w:val="none"/>
          <w:u w:val="single"/>
          <w:lang w:val="en-US" w:eastAsia="zh-CN"/>
        </w:rPr>
        <w:t xml:space="preserve"> 15  </w:t>
      </w:r>
      <w:r>
        <w:rPr>
          <w:rFonts w:hint="eastAsia" w:ascii="宋体" w:hAnsi="宋体" w:eastAsia="宋体" w:cs="宋体"/>
          <w:color w:val="auto"/>
          <w:sz w:val="24"/>
          <w:highlight w:val="none"/>
        </w:rPr>
        <w:t>时</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30</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分。开标地点</w:t>
      </w:r>
      <w:r>
        <w:rPr>
          <w:rFonts w:hint="eastAsia" w:ascii="宋体" w:hAnsi="宋体" w:eastAsia="宋体" w:cs="宋体"/>
          <w:color w:val="auto"/>
          <w:sz w:val="24"/>
          <w:highlight w:val="none"/>
          <w:u w:val="single"/>
        </w:rPr>
        <w:t>浏阳市人民东路60号2楼202室</w:t>
      </w:r>
      <w:r>
        <w:rPr>
          <w:rFonts w:hint="eastAsia" w:ascii="宋体" w:hAnsi="宋体" w:eastAsia="宋体" w:cs="宋体"/>
          <w:color w:val="auto"/>
          <w:sz w:val="24"/>
          <w:highlight w:val="none"/>
        </w:rPr>
        <w:t>进行，本项目由法定代表人携带本人身份证和法定代表人身份证明或委托代理人携带本人身份证、法定代表人身份证明和法人授权委托书原件及被授权人在投标人近三个月内任意一个月的社保证明必须按时参加开标会议，不得迟到。</w:t>
      </w:r>
    </w:p>
    <w:p w14:paraId="4393B2A5">
      <w:pPr>
        <w:spacing w:line="520" w:lineRule="exact"/>
        <w:rPr>
          <w:rFonts w:ascii="宋体" w:hAnsi="宋体" w:eastAsia="宋体" w:cs="宋体"/>
          <w:b/>
          <w:bCs/>
          <w:color w:val="auto"/>
          <w:sz w:val="24"/>
          <w:highlight w:val="none"/>
        </w:rPr>
      </w:pPr>
      <w:bookmarkStart w:id="8" w:name="_Toc300677995"/>
      <w:bookmarkStart w:id="9" w:name="_Toc429827520"/>
      <w:r>
        <w:rPr>
          <w:rFonts w:hint="eastAsia" w:ascii="宋体" w:hAnsi="宋体" w:eastAsia="宋体" w:cs="宋体"/>
          <w:b/>
          <w:bCs/>
          <w:color w:val="auto"/>
          <w:sz w:val="24"/>
          <w:highlight w:val="none"/>
        </w:rPr>
        <w:t>十三、评标办法（最低评标价法）</w:t>
      </w:r>
    </w:p>
    <w:p w14:paraId="68E7790B">
      <w:pPr>
        <w:spacing w:line="520" w:lineRule="exact"/>
        <w:ind w:firstLine="354" w:firstLineChars="147"/>
        <w:rPr>
          <w:rFonts w:ascii="宋体" w:hAnsi="宋体" w:eastAsia="宋体" w:cs="宋体"/>
          <w:bCs/>
          <w:color w:val="auto"/>
          <w:sz w:val="24"/>
          <w:highlight w:val="none"/>
        </w:rPr>
      </w:pPr>
      <w:r>
        <w:rPr>
          <w:rFonts w:hint="eastAsia" w:ascii="宋体" w:hAnsi="宋体" w:eastAsia="宋体" w:cs="宋体"/>
          <w:b/>
          <w:bCs/>
          <w:color w:val="auto"/>
          <w:sz w:val="24"/>
          <w:highlight w:val="none"/>
        </w:rPr>
        <w:t>1、评标详细程序</w:t>
      </w:r>
    </w:p>
    <w:p w14:paraId="30A43062">
      <w:pPr>
        <w:spacing w:line="520" w:lineRule="exact"/>
        <w:rPr>
          <w:rFonts w:ascii="宋体" w:hAnsi="宋体" w:eastAsia="宋体" w:cs="宋体"/>
          <w:bCs/>
          <w:color w:val="auto"/>
          <w:sz w:val="24"/>
          <w:highlight w:val="none"/>
        </w:rPr>
      </w:pPr>
      <w:r>
        <w:rPr>
          <w:rFonts w:hint="eastAsia" w:ascii="宋体" w:hAnsi="宋体" w:eastAsia="宋体" w:cs="宋体"/>
          <w:bCs/>
          <w:color w:val="auto"/>
          <w:sz w:val="24"/>
          <w:highlight w:val="none"/>
        </w:rPr>
        <w:t xml:space="preserve">     第一阶段：资格性审查</w:t>
      </w:r>
    </w:p>
    <w:p w14:paraId="5A0EC572">
      <w:pPr>
        <w:spacing w:line="520" w:lineRule="exact"/>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rPr>
        <w:t xml:space="preserve"> 评标委员会对投标人的</w:t>
      </w:r>
      <w:r>
        <w:rPr>
          <w:rFonts w:hint="eastAsia" w:ascii="宋体" w:hAnsi="宋体" w:eastAsia="宋体" w:cs="宋体"/>
          <w:color w:val="auto"/>
          <w:sz w:val="24"/>
          <w:highlight w:val="none"/>
        </w:rPr>
        <w:t>资格证明文件</w:t>
      </w:r>
      <w:r>
        <w:rPr>
          <w:rFonts w:hint="eastAsia" w:ascii="宋体" w:hAnsi="宋体" w:eastAsia="宋体" w:cs="宋体"/>
          <w:bCs/>
          <w:color w:val="auto"/>
          <w:sz w:val="24"/>
          <w:highlight w:val="none"/>
        </w:rPr>
        <w:t>（营业执照、依法缴纳税收和社会保险费的证明材料、法定代表人身份证明或授权委托书、特定资格条件等）进行审查，符合招标文件要求者进入下一阶段评标，不符合条件者作否决投标处理，对未能通过</w:t>
      </w:r>
      <w:r>
        <w:rPr>
          <w:rFonts w:hint="eastAsia" w:ascii="宋体" w:hAnsi="宋体" w:eastAsia="宋体" w:cs="宋体"/>
          <w:color w:val="auto"/>
          <w:sz w:val="24"/>
          <w:highlight w:val="none"/>
        </w:rPr>
        <w:t>资格证明文件</w:t>
      </w:r>
      <w:r>
        <w:rPr>
          <w:rFonts w:hint="eastAsia" w:ascii="宋体" w:hAnsi="宋体" w:eastAsia="宋体" w:cs="宋体"/>
          <w:bCs/>
          <w:color w:val="auto"/>
          <w:sz w:val="24"/>
          <w:highlight w:val="none"/>
        </w:rPr>
        <w:t>的投标人，评标委员会必须阐明原因，并予记录。</w:t>
      </w:r>
    </w:p>
    <w:p w14:paraId="376F8A3E">
      <w:pPr>
        <w:spacing w:line="520" w:lineRule="exact"/>
        <w:ind w:firstLine="600" w:firstLineChars="250"/>
        <w:rPr>
          <w:rFonts w:ascii="宋体" w:hAnsi="宋体" w:eastAsia="宋体" w:cs="宋体"/>
          <w:bCs/>
          <w:color w:val="auto"/>
          <w:sz w:val="24"/>
          <w:highlight w:val="none"/>
        </w:rPr>
      </w:pPr>
      <w:r>
        <w:rPr>
          <w:rFonts w:hint="eastAsia" w:ascii="宋体" w:hAnsi="宋体" w:eastAsia="宋体" w:cs="宋体"/>
          <w:bCs/>
          <w:color w:val="auto"/>
          <w:sz w:val="24"/>
          <w:highlight w:val="none"/>
        </w:rPr>
        <w:t>第二阶段：符合性审查</w:t>
      </w:r>
    </w:p>
    <w:p w14:paraId="761837F1">
      <w:pPr>
        <w:spacing w:line="520" w:lineRule="exact"/>
        <w:ind w:firstLine="600" w:firstLineChars="250"/>
        <w:rPr>
          <w:rFonts w:ascii="宋体" w:hAnsi="宋体" w:eastAsia="宋体" w:cs="宋体"/>
          <w:bCs/>
          <w:color w:val="auto"/>
          <w:sz w:val="24"/>
          <w:highlight w:val="none"/>
        </w:rPr>
      </w:pPr>
      <w:r>
        <w:rPr>
          <w:rFonts w:hint="eastAsia" w:ascii="宋体" w:hAnsi="宋体" w:eastAsia="宋体" w:cs="宋体"/>
          <w:bCs/>
          <w:color w:val="auto"/>
          <w:sz w:val="24"/>
          <w:highlight w:val="none"/>
        </w:rPr>
        <w:t>依据招标文件的规定，从投标文件的有效性、完整性和对招标文件的响应程度进行审查，以确定是否对招标文件的实质性要求作出响应。投标人对投标承诺汇总表内容进行修改或货物/服务不满足招标文件要求的视为不响应招标文件的实质性要求。评标委员会决定投标文件的响应性只根据投标文件真实无误的内容，而不依据外部的证据，但投标文件有不真实、不正确的内容时除外。对未能通过符合性审查的投标人，评标委员会必须阐明原因，并予记录。</w:t>
      </w:r>
    </w:p>
    <w:p w14:paraId="754E735C">
      <w:pPr>
        <w:spacing w:line="520" w:lineRule="exact"/>
        <w:ind w:firstLine="600" w:firstLineChars="250"/>
        <w:rPr>
          <w:rFonts w:ascii="宋体" w:hAnsi="宋体" w:eastAsia="宋体" w:cs="宋体"/>
          <w:bCs/>
          <w:color w:val="auto"/>
          <w:sz w:val="24"/>
          <w:highlight w:val="none"/>
        </w:rPr>
      </w:pPr>
      <w:r>
        <w:rPr>
          <w:rFonts w:hint="eastAsia" w:ascii="宋体" w:hAnsi="宋体" w:eastAsia="宋体" w:cs="宋体"/>
          <w:bCs/>
          <w:color w:val="auto"/>
          <w:sz w:val="24"/>
          <w:highlight w:val="none"/>
        </w:rPr>
        <w:t xml:space="preserve"> 第三阶段：投标报价审查</w:t>
      </w:r>
    </w:p>
    <w:p w14:paraId="7A9A3678">
      <w:pPr>
        <w:spacing w:line="520" w:lineRule="exact"/>
        <w:ind w:firstLine="600" w:firstLineChars="250"/>
        <w:rPr>
          <w:rFonts w:ascii="宋体" w:hAnsi="宋体" w:eastAsia="宋体" w:cs="宋体"/>
          <w:bCs/>
          <w:color w:val="auto"/>
          <w:sz w:val="24"/>
          <w:highlight w:val="none"/>
        </w:rPr>
      </w:pPr>
      <w:r>
        <w:rPr>
          <w:rFonts w:hint="eastAsia" w:ascii="宋体" w:hAnsi="宋体" w:eastAsia="宋体" w:cs="宋体"/>
          <w:bCs/>
          <w:color w:val="auto"/>
          <w:sz w:val="24"/>
          <w:highlight w:val="none"/>
        </w:rPr>
        <w:t>评标委员会对投标报价进行审查，评审投标报价详细内容是否涵盖招标项目的范围和内容，对未能通过评审商务的投标人，评标委员会必须阐明理由及原因，并予记录。投标人的报价必须由投标人的法定代表人或委托代理人签字（或盖章）并加盖单位公章。</w:t>
      </w:r>
    </w:p>
    <w:p w14:paraId="74517888">
      <w:pPr>
        <w:spacing w:line="520" w:lineRule="exact"/>
        <w:ind w:firstLine="600" w:firstLineChars="250"/>
        <w:rPr>
          <w:rFonts w:ascii="宋体" w:hAnsi="宋体" w:eastAsia="宋体" w:cs="宋体"/>
          <w:bCs/>
          <w:color w:val="auto"/>
          <w:sz w:val="24"/>
          <w:highlight w:val="none"/>
        </w:rPr>
      </w:pPr>
      <w:r>
        <w:rPr>
          <w:rFonts w:hint="eastAsia" w:ascii="宋体" w:hAnsi="宋体" w:eastAsia="宋体" w:cs="宋体"/>
          <w:bCs/>
          <w:color w:val="auto"/>
          <w:sz w:val="24"/>
          <w:highlight w:val="none"/>
        </w:rPr>
        <w:t>第四阶段：确定投标人的排序并推荐第一、二、三中标候选人</w:t>
      </w:r>
    </w:p>
    <w:p w14:paraId="49C2815D">
      <w:pPr>
        <w:spacing w:line="52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1）评标委员会依据招标文件和投标人投标文件，从质量和服务均能满足招标文件实质性响应要求的投标人中，按照最终评标价由低到高的顺序，向招标人推荐成交候选投标人，并编写评审报告。出现报价相同的2个及以上第一中标候选人时，现场抽签确定。</w:t>
      </w:r>
    </w:p>
    <w:p w14:paraId="13C3BD97">
      <w:pPr>
        <w:spacing w:line="520" w:lineRule="exact"/>
        <w:ind w:firstLine="120" w:firstLineChars="50"/>
        <w:rPr>
          <w:rFonts w:ascii="宋体" w:hAnsi="宋体" w:eastAsia="宋体" w:cs="宋体"/>
          <w:b/>
          <w:bCs/>
          <w:color w:val="auto"/>
          <w:sz w:val="24"/>
          <w:highlight w:val="none"/>
        </w:rPr>
      </w:pPr>
      <w:r>
        <w:rPr>
          <w:rFonts w:hint="eastAsia" w:ascii="宋体" w:hAnsi="宋体" w:eastAsia="宋体" w:cs="宋体"/>
          <w:b/>
          <w:bCs/>
          <w:color w:val="auto"/>
          <w:sz w:val="24"/>
          <w:highlight w:val="none"/>
        </w:rPr>
        <w:t>十四、联系方式</w:t>
      </w:r>
    </w:p>
    <w:p w14:paraId="6EDD5ADD">
      <w:pPr>
        <w:tabs>
          <w:tab w:val="left" w:pos="7853"/>
        </w:tabs>
        <w:spacing w:line="520" w:lineRule="exact"/>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招标 人：</w:t>
      </w:r>
      <w:r>
        <w:rPr>
          <w:rFonts w:hint="eastAsia" w:ascii="宋体" w:hAnsi="宋体" w:eastAsia="宋体" w:cs="宋体"/>
          <w:color w:val="auto"/>
          <w:sz w:val="24"/>
          <w:highlight w:val="none"/>
          <w:lang w:eastAsia="zh-CN"/>
        </w:rPr>
        <w:t>浏阳市水利建设投资有限公司</w:t>
      </w:r>
    </w:p>
    <w:p w14:paraId="6947F0A2">
      <w:pPr>
        <w:tabs>
          <w:tab w:val="left" w:pos="7853"/>
        </w:tabs>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地    址：浏阳市人民东路60号</w:t>
      </w:r>
    </w:p>
    <w:p w14:paraId="0D0F6EFA">
      <w:pPr>
        <w:tabs>
          <w:tab w:val="left" w:pos="7853"/>
        </w:tabs>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联系人：易女士     电话：0731-83648668</w:t>
      </w:r>
    </w:p>
    <w:p w14:paraId="018B5516">
      <w:pPr>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代理机构：长沙东睿工程咨询有限公司</w:t>
      </w:r>
    </w:p>
    <w:p w14:paraId="4C06D6A8">
      <w:pPr>
        <w:tabs>
          <w:tab w:val="left" w:pos="364"/>
        </w:tabs>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Times New Roman"/>
          <w:color w:val="auto"/>
          <w:sz w:val="24"/>
          <w:highlight w:val="none"/>
        </w:rPr>
        <w:t>浏阳市圣大云天3栋703</w:t>
      </w:r>
    </w:p>
    <w:p w14:paraId="3A4F020E">
      <w:pPr>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联 系 人：</w:t>
      </w:r>
      <w:r>
        <w:rPr>
          <w:rFonts w:hint="eastAsia" w:ascii="宋体" w:hAnsi="宋体" w:cs="宋体"/>
          <w:color w:val="auto"/>
          <w:sz w:val="24"/>
          <w:highlight w:val="none"/>
        </w:rPr>
        <w:t>刘先生、闵女士</w:t>
      </w:r>
      <w:r>
        <w:rPr>
          <w:rFonts w:hint="eastAsia" w:ascii="宋体" w:hAnsi="宋体" w:eastAsia="宋体" w:cs="宋体"/>
          <w:color w:val="auto"/>
          <w:sz w:val="24"/>
          <w:highlight w:val="none"/>
        </w:rPr>
        <w:t xml:space="preserve">     电话：</w:t>
      </w:r>
      <w:r>
        <w:rPr>
          <w:rFonts w:hint="eastAsia" w:ascii="宋体" w:hAnsi="宋体" w:cs="宋体"/>
          <w:color w:val="auto"/>
          <w:sz w:val="24"/>
          <w:highlight w:val="none"/>
        </w:rPr>
        <w:t>0731-83630580  19974822466</w:t>
      </w:r>
    </w:p>
    <w:p w14:paraId="37D7340D">
      <w:pPr>
        <w:rPr>
          <w:rFonts w:ascii="宋体" w:hAnsi="宋体" w:eastAsia="宋体" w:cs="宋体"/>
          <w:color w:val="auto"/>
          <w:sz w:val="24"/>
          <w:highlight w:val="none"/>
        </w:rPr>
      </w:pPr>
      <w:r>
        <w:rPr>
          <w:rFonts w:hint="eastAsia" w:ascii="宋体" w:hAnsi="宋体" w:eastAsia="宋体" w:cs="宋体"/>
          <w:color w:val="auto"/>
          <w:sz w:val="24"/>
          <w:highlight w:val="none"/>
        </w:rPr>
        <w:br w:type="page"/>
      </w:r>
    </w:p>
    <w:p w14:paraId="7E6C3CBD">
      <w:pPr>
        <w:widowControl/>
        <w:jc w:val="center"/>
        <w:textAlignment w:val="center"/>
        <w:rPr>
          <w:rFonts w:ascii="宋体" w:hAnsi="宋体" w:eastAsia="宋体" w:cs="宋体"/>
          <w:b/>
          <w:bCs/>
          <w:color w:val="auto"/>
          <w:sz w:val="32"/>
          <w:highlight w:val="none"/>
        </w:rPr>
        <w:sectPr>
          <w:pgSz w:w="11906" w:h="16838"/>
          <w:pgMar w:top="1531" w:right="1531" w:bottom="1531" w:left="1531" w:header="851" w:footer="992" w:gutter="0"/>
          <w:cols w:space="720" w:num="1"/>
          <w:docGrid w:type="lines" w:linePitch="312" w:charSpace="0"/>
        </w:sectPr>
      </w:pPr>
    </w:p>
    <w:p w14:paraId="2CE6DD5E">
      <w:pPr>
        <w:widowControl/>
        <w:jc w:val="center"/>
        <w:textAlignment w:val="center"/>
        <w:rPr>
          <w:rFonts w:ascii="宋体" w:hAnsi="宋体" w:eastAsia="宋体" w:cs="宋体"/>
          <w:b/>
          <w:bCs/>
          <w:color w:val="auto"/>
          <w:kern w:val="0"/>
          <w:sz w:val="30"/>
          <w:szCs w:val="30"/>
          <w:highlight w:val="none"/>
        </w:rPr>
      </w:pPr>
      <w:r>
        <w:rPr>
          <w:rFonts w:hint="eastAsia" w:ascii="宋体" w:hAnsi="宋体" w:eastAsia="宋体" w:cs="宋体"/>
          <w:b/>
          <w:bCs/>
          <w:color w:val="auto"/>
          <w:sz w:val="30"/>
          <w:szCs w:val="30"/>
          <w:highlight w:val="none"/>
          <w:lang w:eastAsia="zh-CN"/>
        </w:rPr>
        <w:t>浏阳市2023年北正社区中医院等9个老旧小区配套基础设施改造项目（自来水公司宿舍东侧等三个停车场设备采购安装）（第二次）</w:t>
      </w:r>
      <w:r>
        <w:rPr>
          <w:rFonts w:hint="eastAsia" w:ascii="宋体" w:hAnsi="宋体" w:eastAsia="宋体" w:cs="宋体"/>
          <w:b/>
          <w:bCs/>
          <w:color w:val="auto"/>
          <w:kern w:val="0"/>
          <w:sz w:val="30"/>
          <w:szCs w:val="30"/>
          <w:highlight w:val="none"/>
        </w:rPr>
        <w:t>采购清单及要求</w:t>
      </w:r>
    </w:p>
    <w:tbl>
      <w:tblPr>
        <w:tblStyle w:val="8"/>
        <w:tblW w:w="1119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24"/>
        <w:gridCol w:w="6351"/>
        <w:gridCol w:w="3191"/>
        <w:gridCol w:w="824"/>
      </w:tblGrid>
      <w:tr w14:paraId="0A3FB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0C271">
            <w:pPr>
              <w:keepNext w:val="0"/>
              <w:keepLines w:val="0"/>
              <w:widowControl/>
              <w:suppressLineNumbers w:val="0"/>
              <w:jc w:val="both"/>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5C142">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项目名称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39E9B">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金额(元)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FBD6D">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14:paraId="00F8B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A5E6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53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C8868">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思邈公寓东侧停车场</w:t>
            </w:r>
          </w:p>
        </w:tc>
        <w:tc>
          <w:tcPr>
            <w:tcW w:w="2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C8F1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94620.68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51532">
            <w:pPr>
              <w:jc w:val="center"/>
              <w:rPr>
                <w:rFonts w:hint="eastAsia" w:ascii="宋体" w:hAnsi="宋体" w:eastAsia="宋体" w:cs="宋体"/>
                <w:i w:val="0"/>
                <w:iCs w:val="0"/>
                <w:color w:val="auto"/>
                <w:sz w:val="22"/>
                <w:szCs w:val="22"/>
                <w:highlight w:val="none"/>
                <w:u w:val="none"/>
              </w:rPr>
            </w:pPr>
          </w:p>
        </w:tc>
      </w:tr>
      <w:tr w14:paraId="6151B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633E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53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08E06">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自来水宿舍东侧停车场</w:t>
            </w:r>
          </w:p>
        </w:tc>
        <w:tc>
          <w:tcPr>
            <w:tcW w:w="2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4BE3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78591.65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33634">
            <w:pPr>
              <w:jc w:val="center"/>
              <w:rPr>
                <w:rFonts w:hint="eastAsia" w:ascii="宋体" w:hAnsi="宋体" w:eastAsia="宋体" w:cs="宋体"/>
                <w:i w:val="0"/>
                <w:iCs w:val="0"/>
                <w:color w:val="auto"/>
                <w:sz w:val="22"/>
                <w:szCs w:val="22"/>
                <w:highlight w:val="none"/>
                <w:u w:val="none"/>
              </w:rPr>
            </w:pPr>
          </w:p>
        </w:tc>
      </w:tr>
      <w:tr w14:paraId="1A42B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3EF0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53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A40AF">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湘顺小区东侧停车场</w:t>
            </w:r>
          </w:p>
        </w:tc>
        <w:tc>
          <w:tcPr>
            <w:tcW w:w="2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20BF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113207.97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25E83">
            <w:pPr>
              <w:jc w:val="center"/>
              <w:rPr>
                <w:rFonts w:hint="eastAsia" w:ascii="宋体" w:hAnsi="宋体" w:eastAsia="宋体" w:cs="宋体"/>
                <w:i w:val="0"/>
                <w:iCs w:val="0"/>
                <w:color w:val="auto"/>
                <w:sz w:val="22"/>
                <w:szCs w:val="22"/>
                <w:highlight w:val="none"/>
                <w:u w:val="none"/>
              </w:rPr>
            </w:pPr>
          </w:p>
        </w:tc>
      </w:tr>
      <w:tr w14:paraId="4C8CE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55F4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3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24213">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总计</w:t>
            </w:r>
          </w:p>
        </w:tc>
        <w:tc>
          <w:tcPr>
            <w:tcW w:w="2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D3EA2">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286420.30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454BC">
            <w:pPr>
              <w:jc w:val="center"/>
              <w:rPr>
                <w:rFonts w:hint="eastAsia" w:ascii="宋体" w:hAnsi="宋体" w:eastAsia="宋体" w:cs="宋体"/>
                <w:b/>
                <w:bCs/>
                <w:i w:val="0"/>
                <w:iCs w:val="0"/>
                <w:color w:val="auto"/>
                <w:sz w:val="22"/>
                <w:szCs w:val="22"/>
                <w:highlight w:val="none"/>
                <w:u w:val="none"/>
              </w:rPr>
            </w:pPr>
          </w:p>
        </w:tc>
      </w:tr>
      <w:tr w14:paraId="4E1A6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jc w:val="center"/>
        </w:trPr>
        <w:tc>
          <w:tcPr>
            <w:tcW w:w="11190" w:type="dxa"/>
            <w:gridSpan w:val="4"/>
            <w:tcBorders>
              <w:top w:val="nil"/>
              <w:left w:val="nil"/>
              <w:bottom w:val="nil"/>
              <w:right w:val="nil"/>
            </w:tcBorders>
            <w:shd w:val="clear" w:color="auto" w:fill="auto"/>
            <w:vAlign w:val="center"/>
          </w:tcPr>
          <w:p w14:paraId="4D426E20">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1、本清单中仅列出主要设备材料，所含其他辅助材料费用请在投标报价时综合考虑；  </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2、本清单所列出所有设备及土建报价均已综合考虑税费、运费、设计费和安装调试费等；                                    3、本项目需开具全额增值税专用发票。</w:t>
            </w:r>
          </w:p>
        </w:tc>
      </w:tr>
    </w:tbl>
    <w:p w14:paraId="45F99BA8">
      <w:pPr>
        <w:spacing w:line="300" w:lineRule="exact"/>
        <w:rPr>
          <w:rFonts w:ascii="宋体" w:hAnsi="宋体" w:eastAsia="宋体" w:cs="宋体"/>
          <w:bCs/>
          <w:color w:val="auto"/>
          <w:sz w:val="24"/>
          <w:highlight w:val="none"/>
        </w:rPr>
      </w:pPr>
      <w:r>
        <w:rPr>
          <w:rFonts w:hint="eastAsia" w:ascii="宋体" w:hAnsi="宋体" w:eastAsia="宋体" w:cs="宋体"/>
          <w:b/>
          <w:bCs/>
          <w:color w:val="auto"/>
          <w:sz w:val="32"/>
          <w:szCs w:val="32"/>
          <w:highlight w:val="none"/>
        </w:rPr>
        <w:br w:type="page"/>
      </w:r>
      <w:bookmarkEnd w:id="8"/>
      <w:bookmarkEnd w:id="9"/>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69"/>
        <w:gridCol w:w="2031"/>
        <w:gridCol w:w="8333"/>
        <w:gridCol w:w="509"/>
        <w:gridCol w:w="669"/>
        <w:gridCol w:w="881"/>
        <w:gridCol w:w="1100"/>
      </w:tblGrid>
      <w:tr w14:paraId="4E44D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5000" w:type="pct"/>
            <w:gridSpan w:val="7"/>
            <w:tcBorders>
              <w:top w:val="nil"/>
              <w:left w:val="nil"/>
              <w:bottom w:val="nil"/>
              <w:right w:val="nil"/>
            </w:tcBorders>
            <w:shd w:val="clear" w:color="auto" w:fill="auto"/>
            <w:noWrap/>
            <w:vAlign w:val="center"/>
          </w:tcPr>
          <w:p w14:paraId="253BC73F">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思邈公寓东侧停车场停车系统及高清监控系统设备清单</w:t>
            </w:r>
          </w:p>
        </w:tc>
      </w:tr>
      <w:tr w14:paraId="671BD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DDCDD">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序号</w:t>
            </w: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BED31">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产品名称</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01CC89">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技术参数</w:t>
            </w:r>
          </w:p>
        </w:tc>
        <w:tc>
          <w:tcPr>
            <w:tcW w:w="1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A9C060">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单位</w:t>
            </w:r>
          </w:p>
        </w:tc>
        <w:tc>
          <w:tcPr>
            <w:tcW w:w="2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C06BF3">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数量</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80F81">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含税单价</w:t>
            </w:r>
          </w:p>
        </w:tc>
        <w:tc>
          <w:tcPr>
            <w:tcW w:w="3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BFD1D">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小计（元）</w:t>
            </w:r>
          </w:p>
        </w:tc>
      </w:tr>
      <w:tr w14:paraId="46135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03716">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一、停车场入口道闸</w:t>
            </w:r>
          </w:p>
        </w:tc>
      </w:tr>
      <w:tr w14:paraId="35F02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CB44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6537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智能道闸</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518AEE">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1、闸杆类型：广告道闸主机，配套广告杆。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2、闸杆：广告道闸杆件，左右向通用，采用铝合金材质，底部标配弹性防砸胶条。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3、使用直流变频控制器，升落杆速度可调，闸杆运行平稳</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4、可通过485接口连接相机，通过相机web端可读取道闸状态包括运行次数和运行状态。并且可以读取道闸运行日志。</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5、采用高亮LED灯条，光敏传感器自动控制亮灯，高效智能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6、支持道闸计数模式、支持延迟落杆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7、支持一键车队模式，按住遥控器停止键10s即可实现道闸常开模式，在常开模式下地感、雷达给的关信号应不起作用</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E403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9800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9489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6500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AD4B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13000</w:t>
            </w:r>
          </w:p>
        </w:tc>
      </w:tr>
      <w:tr w14:paraId="6E996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51D9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B2C5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防砸雷达</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EF6A5F">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1、支持宽电压范围为：DC9V~16V，一般采用DC12V供电。功耗≤3W。</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2、设备具有电源和状态指示灯，实时反映是否有车或有人。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3、通过毫米波雷达可进行检测车辆和行人，支持单人过滤。设备具有遇阻反弹功</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能，当闸杆下落时，遇到物体阻挡将立即开闸。</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4、在触发雷达作用区域内，车速30km/h以内，触发捕获率大于99%。（实测100次，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捕获率100%）具有人车区分功能。可对行人和车辆进行区分，控制触发。触发模式具</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有区分方向功能，方向区分成功率大于95%。（实测100次，捕获率100%）</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D8D7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4FD8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C533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680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71C6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1360</w:t>
            </w:r>
          </w:p>
        </w:tc>
      </w:tr>
      <w:tr w14:paraId="23A64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A08A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21BD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一体机</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122742">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1.高度集成，集摄像机、LCD显示屏、LED补光灯、镜头、拾音器、喇叭功放于一体。要求其中摄像机不小于400万像素，LCD屏幕≥10.1 寸，内置9颗高亮LED灯以上，智能补光技术，支持时控和光控；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2.宽动态设置检查:具有宽动态设置选项，并可通过菜单设置功能开启/关闭</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3.黑白名单同步和比对功能检查：联网时，可与后台的黑白名单同步，并进行比对和管控；断网时，可使用本地保存的黑白名单进行比对和管控。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车牌识别功能检查：支持识别大（小）型汽车、使领馆汽车、警用汽车、军车、新能源汽车（小车的绿色和大车的黄绿色的车牌号；支持识别倾斜角度0°~30°的车牌号；支持识别相机法线与行车方向角度小于65°的车牌号；支持识别车牌宽度范围为70像素~300像素的车牌号</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5、支持相机上电启动加热除雾，加热除雾支持按照时间、自动、关闭、开启设置</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C376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781D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33BA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1600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96B0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3200</w:t>
            </w:r>
          </w:p>
        </w:tc>
      </w:tr>
      <w:tr w14:paraId="589EF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B9C37">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二、停车场出口道闸</w:t>
            </w:r>
          </w:p>
        </w:tc>
      </w:tr>
      <w:tr w14:paraId="7040E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F3F3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5CD0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智能道闸</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0EFE7">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1、闸杆类型：广告道闸主机，配套广告杆。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2、闸杆：广告道闸杆件，左右向通用，采用铝合金材质，底部标配弹性防砸胶条。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3、使用直流变频控制器，升落杆速度可调，闸杆运行平稳</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4、可通过485接口连接相机，通过相机web端可读取道闸状态包括运行次数和运行状态。并且可以读取道闸运行日志。</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5、采用高亮LED灯条，光敏传感器自动控制亮灯，高效智能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6、支持道闸计数模式、支持延迟落杆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7、支持一键车队模式，按住遥控器停止键10s即可实现道闸常开模式，在常开模式下地感、雷达给的关信号应不起作用</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5426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F63E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7EBC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6500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10C8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13000</w:t>
            </w:r>
          </w:p>
        </w:tc>
      </w:tr>
      <w:tr w14:paraId="4562F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B7B6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3D73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防砸雷达</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91C5F">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1、支持宽电压范围为：DC9V~16V，一般采用DC12V供电。功耗≤3W。</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2、设备具有电源和状态指示灯，实时反映是否有车或有人。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3、通过毫米波雷达可进行检测车辆和行人，支持单人过滤。设备具有遇阻反弹功</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能，当闸杆下落时，遇到物体阻挡将立即开闸。</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4、在触发雷达作用区域内，车速30km/h以内，触发捕获率大于99%。（实测100次，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捕获率100%）具有人车区分功能。可对行人和车辆进行区分，控制触发。触发模式具</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有区分方向功能，方向区分成功率大于95%。（实测100次，捕获率100%）</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8CD9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3A9E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F5966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680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8A82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1360</w:t>
            </w:r>
          </w:p>
        </w:tc>
      </w:tr>
      <w:tr w14:paraId="4E782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0FAA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77F4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一体机</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6EEB20">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1.高度集成，集摄像机、LCD显示屏、LED补光灯、镜头、拾音器、喇叭功放于一体。要求其中摄像机不小于400万像素，LCD屏幕≥10.1 寸，内置9颗高亮LED灯以上，智能补光技术，支持时控和光控；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2.宽动态设置检查:具有宽动态设置选项，并可通过菜单设置功能开启/关闭</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3.黑白名单同步和比对功能检查：联网时，可与后台的黑白名单同步，并进行比对和思邈公寓东侧停车场停车系统及高清监控系统设备清单序号 产 品 名 称 设备参数 数量 单位管控；断网时，可使用本地保存的黑白名单进行比对和管控。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车牌识别功能检查：支持识别大（小）型汽车、使领馆汽车、警用汽车、军车、新能源汽车（小车的绿色和大车的黄绿色的车牌号；支持识别倾斜角度0°~30°的车牌号；支持识别相机法线与行车方向角度小于65°的车牌号；支持识别车牌宽度范围为70像素~300像素的车牌号</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5、支持相机上电启动加热除雾，加热除雾支持按照时间、自动、关闭、开启设置。</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8F76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2BB6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1ACD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1600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B4F2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3200</w:t>
            </w:r>
          </w:p>
        </w:tc>
      </w:tr>
      <w:tr w14:paraId="62365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9B2E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CD8A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机器人</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663179">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1、支持现场无人值守功能；各通道立运行，管理车辆正常出入、自主计费；</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2、支持自助缴费功能：提供动静态二维码、场内、出场微信、扫码支付；</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3、支持无牌车扫码进出；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4、≥15寸LED高亮屏，提供阳光下高清可见。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b/>
                <w:bCs/>
                <w:i w:val="0"/>
                <w:iCs w:val="0"/>
                <w:color w:val="auto"/>
                <w:kern w:val="0"/>
                <w:sz w:val="20"/>
                <w:szCs w:val="20"/>
                <w:highlight w:val="none"/>
                <w:u w:val="none"/>
                <w:lang w:val="en-US" w:eastAsia="zh-CN" w:bidi="ar"/>
              </w:rPr>
              <w:t>5、要求与现有平台进行无缝对接，并提供承诺函。如不能对接，所有产生的所有对接费用、延期造成的经济损失由投标人承担。</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5005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FBF5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C98C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8500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D2A1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17000</w:t>
            </w:r>
          </w:p>
        </w:tc>
      </w:tr>
      <w:tr w14:paraId="0FF45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788D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D034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安全岛</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AAD2D">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定制</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F33F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座</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F61B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CDB6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301.2</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8BF2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602.4</w:t>
            </w:r>
          </w:p>
        </w:tc>
      </w:tr>
      <w:tr w14:paraId="3F50F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BDAD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C711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震荡标线减速带</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B99F4">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根据现场情况安装定制。</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BAA3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592B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45BD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34.99</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B8AB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419.88</w:t>
            </w:r>
          </w:p>
        </w:tc>
      </w:tr>
      <w:tr w14:paraId="2A707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74EC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371E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防护立柱</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EB95D">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高度50cm、直径11.4cm、底直径16cm、重量1.7kg</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2302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E9A2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3A67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55</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97F1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330</w:t>
            </w:r>
          </w:p>
        </w:tc>
      </w:tr>
      <w:tr w14:paraId="1006C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D76B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33F9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U型防护栏</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CCA3E">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1.5米*0.5米</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8F06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E8FC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73D6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300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F910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1200</w:t>
            </w:r>
          </w:p>
        </w:tc>
      </w:tr>
      <w:tr w14:paraId="0C9AA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B76F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BEE1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膨胀螺丝</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EFDE0">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20cm</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8264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6888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46E4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D8BE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168</w:t>
            </w:r>
          </w:p>
        </w:tc>
      </w:tr>
      <w:tr w14:paraId="2875E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013FF">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三、监控前端设备</w:t>
            </w:r>
          </w:p>
        </w:tc>
      </w:tr>
      <w:tr w14:paraId="0140C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2D22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65AE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高清枪式摄像机</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73AE8">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利旧、拆除、安装，</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F1ED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94EF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D77E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234.42</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9CC0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2813.04</w:t>
            </w:r>
          </w:p>
        </w:tc>
      </w:tr>
      <w:tr w14:paraId="5C9FF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E129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C1B8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枪机支架</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57DD0B">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1.一体型摄像机壁装支架；</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2.材质：铝合金；</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562D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50D4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167F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25</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3239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300</w:t>
            </w:r>
          </w:p>
        </w:tc>
      </w:tr>
      <w:tr w14:paraId="7DFDB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0575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1CCC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壁挂箱</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33D18">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尺寸及规格：300*300*400，壁厚2mm，含空开，排插、导轨</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76F8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9529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E112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420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E47C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1260</w:t>
            </w:r>
          </w:p>
        </w:tc>
      </w:tr>
      <w:tr w14:paraId="654EE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717CD">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四、监控控制设备</w:t>
            </w:r>
          </w:p>
        </w:tc>
      </w:tr>
      <w:tr w14:paraId="3FC50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EF33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4053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光纤收发器</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CC692">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1.名称：POE光纤收发器；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2、一光八电</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A6F7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对</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7C9C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D4ED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460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9E0C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2300</w:t>
            </w:r>
          </w:p>
        </w:tc>
      </w:tr>
      <w:tr w14:paraId="39A6B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A1CC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DAD6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收发器机架</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11C852">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1、2U机架式； 2、电源输入:AC110V-265V；3、工作温度:-20℃~70℃；4、电源配</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置:双电源热备份；5、电源输出:DC5V12A；6、工作湿度:5%-90%</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40DD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FABE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E9E2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B135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r>
      <w:tr w14:paraId="64BFA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783F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741B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24口交换机</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E4AB7">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千兆光口≥4，千兆电口≥24；包转发率≥51Mpps，交换容量≥336Gbps；</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3B62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F2FF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D382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3780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0984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3780</w:t>
            </w:r>
          </w:p>
        </w:tc>
      </w:tr>
      <w:tr w14:paraId="2A321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654E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3A2E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32路硬盘录像机</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59F50">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1.机架式嵌入式网络硬盘录像机,具有2个HDMI接口、2个VGA接口、2个RJ45 千兆网络接口；2个USB2.0接口、2个USB3.0接口、1个RS232接口、1个RS485接口（可接入RS485键盘）；具有1路音频输入接口、2路音频输出接口、16路报警输入接口、9路报警输出接口（其中第9路支持受控直流12V输出）、具有1路直流12V输出接口（12V 1A）、可内置≥8块SATA接口硬盘</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2.支持Normal和Rescue两个系统模式之间进行切换，当Normal系统无法正常启动时，可通过Rescue系统将Normal系统修复</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3.可接入 1T、2T、3T、4T、6T、8T、10T、12TB、14TB、16TB容量的 SATA接口硬盘；可接入 AI 硬盘； 支持不同品牌、不同转速的监控级和企业级硬盘混合接入;</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4.支持最大接入带宽 384Mbps，最大存储带宽 384Mbps，最大转发带宽 384Mbps</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支持接入具有点火检测、测温及温差检测报警功能的摄像机，可通过客户端软件以热成像方式显示预览画面，当触发报警时，可联动录像、抓拍图片、弹出报警画面、发送语音提示、上传中心、发送邮件、蜂鸣报警、轮巡、云台联动以及日志记录</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8912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F1B9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0640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8955</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4881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8955</w:t>
            </w:r>
          </w:p>
        </w:tc>
      </w:tr>
      <w:tr w14:paraId="188AB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3C18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E554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8T监控级硬盘（监控级）</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BAEECE">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1.名称：监控级硬盘；</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2.类型：8TB,256MB,SATA 6Gb/s；</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2AC8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块</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15D4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7032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920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A9A2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920</w:t>
            </w:r>
          </w:p>
        </w:tc>
      </w:tr>
      <w:tr w14:paraId="64F64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75B27">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五、监控传输设备</w:t>
            </w:r>
          </w:p>
        </w:tc>
      </w:tr>
      <w:tr w14:paraId="2D53D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63F2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1894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12芯万兆单模光纤</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8E29E3">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1.名称：12芯万兆单模光纤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2.采用扎纹钢带铠装护套和钢丝加强件，抗拉、抗压，具有良好的机械性能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3.外护套采用聚乙烯PE料，添加UV防晒材料，具有抗UV、耐高低温、不易老化</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BECB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F648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E18F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7.5</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4032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3150</w:t>
            </w:r>
          </w:p>
        </w:tc>
      </w:tr>
      <w:tr w14:paraId="6BEA2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0933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A253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12口光纤配线架</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F7C08F">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 模块化结构，由基本框架组成，可以兼职ST、FC、SC、LC四种规格的适配器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 自带盘纤架，为光缆端接和安装提供坚固的保护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 材料：优质冷扎钢板</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03E0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18B0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0639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316</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4087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316</w:t>
            </w:r>
          </w:p>
        </w:tc>
      </w:tr>
      <w:tr w14:paraId="24F9A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50C1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D587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网络控制线UTP6</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ECA3E9">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1.导体：23AWG实心无氧铜（铜芯线径0.57mm）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2. 绝缘层：高密度聚乙烯（HDPE），厚度：0.2mm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 外护套：聚氯乙烯（PVC）厚度：0.55mm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 线缆结构：4对8芯双绞线,每对之间采用十字骨架隔离,每芯均有颜色区分,外皮印有厂商标识及电缆编码，有撕裂绳，线缆外径6.3mm</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C246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4BAE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6A96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3E48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480</w:t>
            </w:r>
          </w:p>
        </w:tc>
      </w:tr>
      <w:tr w14:paraId="4676E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217B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C913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电源线RVV2*1.5</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2A2E7">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1.名称: 电源线；</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2.型号、规格:RVV2×1.5mm2；</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9D1C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044A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300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1A2C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3.17</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654D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951</w:t>
            </w:r>
          </w:p>
        </w:tc>
      </w:tr>
      <w:tr w14:paraId="5EC07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4083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8F8E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电源线RVV2*2.5</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CA1B57">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1.名称: 电源线；</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2.型号、规格:RVV2×2.5mm2；</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088F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A730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380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D1FF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4.81</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211E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1827.8</w:t>
            </w:r>
          </w:p>
        </w:tc>
      </w:tr>
      <w:tr w14:paraId="2E22D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8FD5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EA24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配管PVC25</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BB62F">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25PVC，1.5mm厚，国标。</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95B0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EB74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480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E0C6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3.81</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973E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1828.8</w:t>
            </w:r>
          </w:p>
        </w:tc>
      </w:tr>
      <w:tr w14:paraId="43F94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FC25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4AB7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4口光纤终端盒</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3D0E10">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 模块化结构，由基本框架组成，可以兼职ST、FC、SC、LC四种规格的适配器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 自带盘纤架，为光缆端接和安装提供坚固的保护</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 材料：优质冷扎钢板</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31E8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E5B4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41F0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125</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1928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625</w:t>
            </w:r>
          </w:p>
        </w:tc>
      </w:tr>
      <w:tr w14:paraId="5E6D4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BB7E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A9A5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光纤尾纤</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B0A32">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3米</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77D2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根</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9249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942D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3151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180</w:t>
            </w:r>
          </w:p>
        </w:tc>
      </w:tr>
      <w:tr w14:paraId="19802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56B5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8820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光纤跳线</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17330">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5米</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95D6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根</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35FA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B0BE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0060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160</w:t>
            </w:r>
          </w:p>
        </w:tc>
      </w:tr>
      <w:tr w14:paraId="424C9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AF80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42CB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光纤熔接</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CF378">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定制</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2715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BF71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47EE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3548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w:t>
            </w:r>
          </w:p>
        </w:tc>
      </w:tr>
      <w:tr w14:paraId="0FB7B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D041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01F6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交接箱</w:t>
            </w:r>
          </w:p>
        </w:tc>
        <w:tc>
          <w:tcPr>
            <w:tcW w:w="29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DFFDA">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1.名称：室外防水落地交接箱；</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2.材质：金属，板厚3mm，含空开，排插、导轨；600*450*800mm，含模板定制安装；</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7277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35DB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2932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670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60D2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670</w:t>
            </w:r>
          </w:p>
        </w:tc>
      </w:tr>
      <w:tr w14:paraId="6E9AE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6AE8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2B8E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水泥开凿</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6C57A">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水泥挖沟回填。</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84B6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B9EA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26</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61D4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58.76</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EA81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1527.76</w:t>
            </w:r>
          </w:p>
        </w:tc>
      </w:tr>
      <w:tr w14:paraId="5CEED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FB13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9C9E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辅材</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6E3AE">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双色漆，扎带、PVC管、反光带，模板、膨胀螺丝、电胶布。</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DBDD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批</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9B73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A458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2150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C9AE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2150</w:t>
            </w:r>
          </w:p>
        </w:tc>
      </w:tr>
      <w:tr w14:paraId="1233E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B0E8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2853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升降车租赁</w:t>
            </w:r>
          </w:p>
        </w:tc>
        <w:tc>
          <w:tcPr>
            <w:tcW w:w="29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BE4A5">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国产</w:t>
            </w:r>
          </w:p>
        </w:tc>
        <w:tc>
          <w:tcPr>
            <w:tcW w:w="1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4E91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批</w:t>
            </w:r>
          </w:p>
        </w:tc>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77D1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663B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5064</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31F2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5064</w:t>
            </w:r>
          </w:p>
        </w:tc>
      </w:tr>
      <w:tr w14:paraId="7EDD9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607"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BE6E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合计</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6E75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94620.68</w:t>
            </w:r>
          </w:p>
        </w:tc>
      </w:tr>
    </w:tbl>
    <w:p w14:paraId="11D44845">
      <w:pPr>
        <w:rPr>
          <w:rFonts w:ascii="宋体" w:hAnsi="宋体" w:eastAsia="宋体" w:cs="宋体"/>
          <w:color w:val="auto"/>
          <w:sz w:val="24"/>
          <w:highlight w:val="none"/>
        </w:rPr>
      </w:pPr>
      <w:r>
        <w:rPr>
          <w:rFonts w:ascii="宋体" w:hAnsi="宋体" w:eastAsia="宋体" w:cs="宋体"/>
          <w:color w:val="auto"/>
          <w:sz w:val="24"/>
          <w:highlight w:val="none"/>
        </w:rPr>
        <w:br w:type="page"/>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63"/>
        <w:gridCol w:w="1417"/>
        <w:gridCol w:w="8994"/>
        <w:gridCol w:w="453"/>
        <w:gridCol w:w="691"/>
        <w:gridCol w:w="877"/>
        <w:gridCol w:w="1097"/>
      </w:tblGrid>
      <w:tr w14:paraId="68BE9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gridSpan w:val="7"/>
            <w:tcBorders>
              <w:top w:val="nil"/>
              <w:left w:val="nil"/>
              <w:bottom w:val="nil"/>
              <w:right w:val="nil"/>
            </w:tcBorders>
            <w:shd w:val="clear" w:color="auto" w:fill="auto"/>
            <w:noWrap/>
            <w:vAlign w:val="center"/>
          </w:tcPr>
          <w:p w14:paraId="3178216A">
            <w:pPr>
              <w:keepNext w:val="0"/>
              <w:keepLines w:val="0"/>
              <w:widowControl/>
              <w:suppressLineNumbers w:val="0"/>
              <w:jc w:val="center"/>
              <w:textAlignment w:val="center"/>
              <w:rPr>
                <w:rFonts w:hint="eastAsia" w:ascii="宋体" w:hAnsi="宋体" w:eastAsia="宋体" w:cs="宋体"/>
                <w:b/>
                <w:bCs/>
                <w:i w:val="0"/>
                <w:iCs w:val="0"/>
                <w:color w:val="auto"/>
                <w:sz w:val="32"/>
                <w:szCs w:val="32"/>
                <w:highlight w:val="none"/>
                <w:u w:val="none"/>
              </w:rPr>
            </w:pPr>
            <w:r>
              <w:rPr>
                <w:rFonts w:hint="eastAsia" w:ascii="宋体" w:hAnsi="宋体" w:eastAsia="宋体" w:cs="宋体"/>
                <w:b/>
                <w:bCs/>
                <w:i w:val="0"/>
                <w:iCs w:val="0"/>
                <w:color w:val="auto"/>
                <w:kern w:val="0"/>
                <w:sz w:val="32"/>
                <w:szCs w:val="32"/>
                <w:highlight w:val="none"/>
                <w:u w:val="none"/>
                <w:lang w:val="en-US" w:eastAsia="zh-CN" w:bidi="ar"/>
              </w:rPr>
              <w:t>自来水宿舍东侧停车场停车系统及高清监控系统设备清单</w:t>
            </w:r>
          </w:p>
        </w:tc>
      </w:tr>
      <w:tr w14:paraId="55262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65BD0A">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序号</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6904DE">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产品名称</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904C5A">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技术参数</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A9D96">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单位</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66576">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数量</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5D813">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含税单价</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E46546">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小计（元）</w:t>
            </w:r>
          </w:p>
        </w:tc>
      </w:tr>
      <w:tr w14:paraId="0BF52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D6178">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一、停车场入口道闸</w:t>
            </w:r>
          </w:p>
        </w:tc>
      </w:tr>
      <w:tr w14:paraId="33419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BC4D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1B448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智能道闸</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798FB">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1、闸杆类型：广告道闸主机，配套广告杆。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2、闸杆：广告道闸杆件，左右向通用，采用铝合金材质，底部标配弹性防砸胶条。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3、使用直流变频控制器，升落杆速度可调，闸杆运行平稳</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4、可通过485接口连接相机，通过相机web端可读取道闸状态包括运行次数和运行状态。并且可以读取道闸运行日志。</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5、采用高亮LED灯条，光敏传感器自动控制亮灯，高效智能</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6、支持道闸计数模式、支持延迟落杆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7、支持一键车队模式，按住遥控器停止键10s即可实现道闸常开模式，在常开模式下地感、雷达给的关信号应不起作用</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662B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D8A4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2604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6500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7E38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6500</w:t>
            </w:r>
          </w:p>
        </w:tc>
      </w:tr>
      <w:tr w14:paraId="55F0F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25FC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858C9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防砸雷达</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E8C8AC">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1、支持宽电压范围为：DC9V~16V，一般采用DC12V供电。功耗≤3W。</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2、设备具有电源和状态指示灯，实时反映是否有车或有人。</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3、通过毫米波雷达可进行检测车辆和行人，支持单人过滤。设备具有遇阻反弹功</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能，当闸杆下落时，遇到物体阻挡将立即开闸。</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在触发雷达作用区域内，车速30km/h以内，触发捕获率大于99%。（实测100次，捕获率100%）具有人车区分功能。可对行人和车辆进行区分，控制触发。触发模式具有区分方向功能，方向区分成功率大于95%。（实测100次，捕获率100%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7889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75AE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BBDF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680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6DB4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680</w:t>
            </w:r>
          </w:p>
        </w:tc>
      </w:tr>
      <w:tr w14:paraId="16DAF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2393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1890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一体机</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6FC6E">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1.高度集成，集摄像机、LCD显示屏、LED补光灯、镜头、拾音器、喇叭功放于一体。要求其中摄像机不小于400万像素，LCD屏幕≥10.1 寸，内置9颗高亮LED灯以上，智能补光技术，支持时控和光控；</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2.宽动态设置检查:具有宽动态设置选项，并可通过菜单设置功能开启/关闭</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3.黑白名单同步和比对功能检查：联网时，可与后台的黑白名单同步，并进行比对和管控；断网时，可使用本地保存的黑白名单进行比对和管控。</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车牌识别功能检查：支持识别大（小）型汽车、使领馆汽车、警用汽车、军车、新能源汽车（小车的绿色和大车的黄绿色的车牌号；支持识别倾斜角度0°~30°的车牌号；支持识别相机法线与行车方向角度小于65°的车牌号；支持识别车牌宽度范围为70像素~300像素的车牌号</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5、支持相机上电启动加热除雾，加热除雾支持按照时间、自动、关闭、开启设置</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5988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ECD6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BA0C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1600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DC12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3200</w:t>
            </w:r>
          </w:p>
        </w:tc>
      </w:tr>
      <w:tr w14:paraId="42905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BC51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58020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8口交换机</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CA162E">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8口千兆</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92C1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5341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23AB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9011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r>
      <w:tr w14:paraId="3660D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0EB20">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二、停车场出口道闸</w:t>
            </w:r>
          </w:p>
        </w:tc>
      </w:tr>
      <w:tr w14:paraId="58628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1424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4C9B9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智能道闸</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03E06">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1、闸杆类型：广告道闸主机，配套广告杆。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2、闸杆：广告道闸杆件，左右向通用，采用铝合金材质，底部标配弹性防砸胶条。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3、使用直流变频控制器，升落杆速度可调，闸杆运行平稳</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4、可通过485接口连接相机，通过相机web端可读取道闸状态包括运行次数和运行状态。并且可以读取道闸运行日志。</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5、采用高亮LED灯条，光敏传感器自动控制亮灯，高效智能</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6、支持道闸计数模式、支持延迟落杆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7、支持一键车队模式，按住遥控器停止键10s即可实现道闸常开模式，在常开模式下地感、雷达给的关信号应不起作用</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C4CA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7402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D35F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6500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71EC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6500</w:t>
            </w:r>
          </w:p>
        </w:tc>
      </w:tr>
      <w:tr w14:paraId="160A7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7477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EEA9A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防砸雷达</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C562B">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1、支持宽电压范围为：DC9V~16V，一般采用DC12V供电。功耗≤3W。</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2、设备具有电源和状态指示灯，实时反映是否有车或有人。</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3、通过毫米波雷达可进行检测车辆和行人，支持单人过滤。设备具有遇阻反弹功</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能，当闸杆下落时，遇到物体阻挡将立即开闸。</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在触发雷达作用区域内，车速30km/h以内，触发捕获率大于99%。（实测100次，捕获率100%）具有人车区分功能。可对行人和车辆进行区分，控制触发。触发模式具有区分方向功能，方向区分成功率大于95%。（实测100次，捕获率100%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7CB9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6303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9458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680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8049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680</w:t>
            </w:r>
          </w:p>
        </w:tc>
      </w:tr>
      <w:tr w14:paraId="3058E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9799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6DD92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一体机</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7DD89">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1.高度集成，集摄像机、LCD显示屏、LED补光灯、镜头、拾音器、喇叭功放于一体。要求其中摄像机不小于400万像素，LCD屏幕≥10.1 寸，内置9颗高亮LED灯以上，智能补光技术，支持时控和光控；</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2.宽动态设置检查:具有宽动态设置选项，并可通过菜单设置功能开启/关闭</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3.黑白名单同步和比对功能检查：联网时，可与后台的黑白名单同步，并进行比对和思邈公寓东侧停车场停车系统及高清监控系统设备清单序号 产 品 名 称 设备参数 数量 单位管控；断网时，可使用本地保存的黑白名单进行比对和管控。</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车牌识别功能检查：支持识别大（小）型汽车、使领馆汽车、警用汽车、军车、新能源汽车（小车的绿色和大车的黄绿色的车牌号；支持识别倾斜角度0°~30°的车牌号；支持识别相机法线与行车方向角度小于65°的车牌号；支持识别车牌宽度范围为70像素~300像素的车牌号</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5、支持相机上电启动加热除雾，加热除雾支持按照时间、自动、关闭、开启设置。</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A918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AA87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E596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1600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D3CB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3200</w:t>
            </w:r>
          </w:p>
        </w:tc>
      </w:tr>
      <w:tr w14:paraId="052B5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D26F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2F6D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机器人</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BF864">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1、支持现场无人值守功能；各通道立运行，管理车辆正常出入、自主计费；</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2、支持自助缴费功能：提供动静态二维码、场内、出场微信、扫码支付；</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3、支持无牌车扫码进出；</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4、≥15寸LED高亮屏，提供阳光下高清可见。</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b/>
                <w:bCs/>
                <w:i w:val="0"/>
                <w:iCs w:val="0"/>
                <w:color w:val="auto"/>
                <w:kern w:val="0"/>
                <w:sz w:val="18"/>
                <w:szCs w:val="18"/>
                <w:highlight w:val="none"/>
                <w:u w:val="none"/>
                <w:lang w:val="en-US" w:eastAsia="zh-CN" w:bidi="ar"/>
              </w:rPr>
              <w:t>5、要求与现有平台进行无缝对接，并提供承诺函。如不能对接，所有产生的所有对接费用、延期造成的经济损失由投标人承担。</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A3FB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C8F6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2AE0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8500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9125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8500</w:t>
            </w:r>
          </w:p>
        </w:tc>
      </w:tr>
      <w:tr w14:paraId="029EF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506F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53146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8口交换机</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59C06">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8口千兆</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356C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CB75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A92C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E5CA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r>
      <w:tr w14:paraId="0D4FF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7365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8AFD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安全岛</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0A5AA">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定制</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AD90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座</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C73E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86E3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595.64</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F540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1191.28</w:t>
            </w:r>
          </w:p>
        </w:tc>
      </w:tr>
      <w:tr w14:paraId="70B1E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3DF1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2BB2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震荡标线减速带</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30920">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根据现场情况安装定制。</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5C87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126C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475F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34.99</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71C4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279.92</w:t>
            </w:r>
          </w:p>
        </w:tc>
      </w:tr>
      <w:tr w14:paraId="64233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3C03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1BE01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防护立柱</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015B1">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高度50cm、直径11.4cm、底直径16cm、重量1.7kg</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76FF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B633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70F7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55</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AD4A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550</w:t>
            </w:r>
          </w:p>
        </w:tc>
      </w:tr>
      <w:tr w14:paraId="3A65A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CF99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EA2D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膨胀螺丝</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C7917">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20cm</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3A1B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21F6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30</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F3AF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3006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120</w:t>
            </w:r>
          </w:p>
        </w:tc>
      </w:tr>
      <w:tr w14:paraId="4A2A9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D74D0">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三、监控前端设备</w:t>
            </w:r>
          </w:p>
        </w:tc>
      </w:tr>
      <w:tr w14:paraId="560EB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0CB2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1930A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400万高清枪式摄像机</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78DB6F">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1.网络枪型摄像机，视频压缩标准支持H.265/H.264,摄像机不小于400万像素,最大分辨率3200 × 1800，水平分辨率不低于1800线；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2.最低照度彩色：0.0005 lx,白光补光可识别不小于30米处的人体。</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3.不低于IP66防尘防水等级。</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5C73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F4F1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71E9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725</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A23A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7975</w:t>
            </w:r>
          </w:p>
        </w:tc>
      </w:tr>
      <w:tr w14:paraId="2BFFC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51CC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C775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枪机支架</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6E7C89">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1.一体型摄像机壁装支架；</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2.材质：铝合金；</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EF33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2413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A493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25</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635E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275</w:t>
            </w:r>
          </w:p>
        </w:tc>
      </w:tr>
      <w:tr w14:paraId="5662D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1621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3655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壁挂箱</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D80D3">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尺寸及规格：300*300*400，壁厚2mm，含空开，排插、导轨</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D913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8BDB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4777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420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777A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2520</w:t>
            </w:r>
          </w:p>
        </w:tc>
      </w:tr>
      <w:tr w14:paraId="00FAE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53F7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A68F2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监控立杆</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898C1">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4.5米</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F4C7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根</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D0AE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83FF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400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0E8B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2400</w:t>
            </w:r>
          </w:p>
        </w:tc>
      </w:tr>
      <w:tr w14:paraId="01C93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8CA2E">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四、监控控制设备</w:t>
            </w:r>
          </w:p>
        </w:tc>
      </w:tr>
      <w:tr w14:paraId="08696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6F82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DB79A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光纤收发器</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943C2">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1.名称：POE光纤收发器；</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2、一光八电</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FA25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对</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82AD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F521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460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58FC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3680</w:t>
            </w:r>
          </w:p>
        </w:tc>
      </w:tr>
      <w:tr w14:paraId="7FDE8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5331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28FA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收发器机架</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06DB1">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1、2U机架式； 2、电源输入:AC110V-265V；3、工作温度:-20℃~70℃；4、电源配</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置:双电源热备份；5、电源输出:DC5V12A；6、工作湿度:5%-90%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CA24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D98C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4B12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16D0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r>
      <w:tr w14:paraId="481C2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1CC2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A585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24口交换机</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16D2D">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千兆光口≥4，千兆电口≥24；包转发率≥51Mpps，交换容量≥336Gbps；</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097A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A497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3525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3780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078A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3780</w:t>
            </w:r>
          </w:p>
        </w:tc>
      </w:tr>
      <w:tr w14:paraId="769FE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AB1E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BC17F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16路硬盘录像机</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A2F3EB">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1.机架式8盘位嵌入式网络硬盘录像机,具有2个HDMI接口、2个VGA接口、2个RJ45 千兆网络接口；2个USB2.0接口、2个USB3.0接口、1个RS232接口、1个RS485接口（可接入RS485键盘）；具有1路音频输入接口、2路音频输出接口、16路报警输入接口、9路报警输出接口（其中第9路支持受控直流12V输出）、具有1路直流12V输出接口（12V 1A）、可内置8块SATA接口硬盘</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2.可接入 1T、2T、3T、4T、6T、8T、10T、12TB、14TB、16TB容量的 SATA接口硬盘；可接入 AI 硬盘； 支持不同品牌、不同转速的监控级和企业级硬盘混合接入;</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3.支持最大接入带宽 384Mbps，最大存储带宽 384Mbps，最大转发带宽 384Mbps</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1DFB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6186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A9EA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8955</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AA63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8955</w:t>
            </w:r>
          </w:p>
        </w:tc>
      </w:tr>
      <w:tr w14:paraId="7432C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9E8C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AD795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6T监控级硬盘（监控级）</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0332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1.名称：监控级硬盘；</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2.类型：6TB,256MB,SATA 6Gb/s；</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D5F0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块</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1A4A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C61B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920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B220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3680</w:t>
            </w:r>
          </w:p>
        </w:tc>
      </w:tr>
      <w:tr w14:paraId="439E7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E9E43">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五、监控传输设备</w:t>
            </w:r>
          </w:p>
        </w:tc>
      </w:tr>
      <w:tr w14:paraId="3DC3A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F607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63F03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12芯万兆单模光纤</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4EC71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1.名称：12芯万兆单模光纤</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2.采用扎纹钢带铠装护套和钢丝加强件，抗拉、抗压，具有良好的机械性能</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3.外护套采用聚乙烯PE料，添加UV防晒材料，具有抗UV、耐高低温、不易老化</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791B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92D0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596</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35BA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7.5</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68D8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4470</w:t>
            </w:r>
          </w:p>
        </w:tc>
      </w:tr>
      <w:tr w14:paraId="2CDE6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DB1F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D8599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网络控制线UTP6</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1C356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1.导体：23AWG实心无氧铜（铜芯线径0.57mm）</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 xml:space="preserve">2. 绝缘层：高密度聚乙烯（HDPE），厚度：0.2mm </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 外护套：聚氯乙烯（PVC）厚度：0.55mm</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 线缆结构：4对8芯双绞线,每对之间采用十字骨架隔离,每芯均有颜色区分,外皮印有厂商标识及电缆编码，有撕裂绳，线缆外径6.3mm</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6571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7354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387</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441E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FC3A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1548</w:t>
            </w:r>
          </w:p>
        </w:tc>
      </w:tr>
      <w:tr w14:paraId="6C594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0198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719A4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电源线RVV2*1.5</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F6C86">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 电源线；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2.型号、规格:RVV2×1.5mm2；</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A68D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0A7F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306</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D18B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3.17</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0E95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970.02</w:t>
            </w:r>
          </w:p>
        </w:tc>
      </w:tr>
      <w:tr w14:paraId="61534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7D10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D8DB2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电源线RVV2*2.5</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CEAF4">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 电源线；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2.型号、规格:RVV2×2.5mm2；</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9949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BE72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216</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13C7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4.81</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CB96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1038.96</w:t>
            </w:r>
          </w:p>
        </w:tc>
      </w:tr>
      <w:tr w14:paraId="2A41E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8F98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C2F9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配管PVC25</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64E8C">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25PVC，1.5mm厚，国标。</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F131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BFE1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187</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A92F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3.81</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E105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712.47</w:t>
            </w:r>
          </w:p>
        </w:tc>
      </w:tr>
      <w:tr w14:paraId="588E5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B604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D643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4口光纤终端盒</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373843">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 模块化结构，由基本框架组成，可以兼职ST、FC、SC、LC四种规格的适配器</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 自带盘纤架，为光缆端接和安装提供坚固的保护</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 材料：优质冷扎钢板</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7484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5DDD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3F8F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125</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4BEB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750</w:t>
            </w:r>
          </w:p>
        </w:tc>
      </w:tr>
      <w:tr w14:paraId="2F93F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FF3E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76A2D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12口光纤配架</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3615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 模块化结构，由基本框架组成，可以兼职ST、FC、SC、LC四种规格的适配器</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 自带盘纤架，为光缆端接和安装提供坚固的保护</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 材料：优质冷扎钢板</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4F41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1285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21C3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316</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9D5C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632</w:t>
            </w:r>
          </w:p>
        </w:tc>
      </w:tr>
      <w:tr w14:paraId="04984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B78A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39360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光纤尾纤</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94010">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3米</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6746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根</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0DE8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E1C5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AF22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324</w:t>
            </w:r>
          </w:p>
        </w:tc>
      </w:tr>
      <w:tr w14:paraId="33E26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4BBA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4CA0E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光纤跳线</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7A3DC">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5米</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B9B6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根</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A124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0D73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C1D2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288</w:t>
            </w:r>
          </w:p>
        </w:tc>
      </w:tr>
      <w:tr w14:paraId="2C513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1FBF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72AD6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光纤熔接</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12C2E">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定制</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D711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08E2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F384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EC84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w:t>
            </w:r>
          </w:p>
        </w:tc>
      </w:tr>
      <w:tr w14:paraId="52022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B766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F98B6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交接箱</w:t>
            </w:r>
          </w:p>
        </w:tc>
        <w:tc>
          <w:tcPr>
            <w:tcW w:w="3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E42D7">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1.名称：室外防水落地交接箱；</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2.材质：金属，板厚3mm，含空开，排插、导轨；600*450*800mm，含模板定制安装；</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87C2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2147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B310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670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5BDC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670</w:t>
            </w:r>
          </w:p>
        </w:tc>
      </w:tr>
      <w:tr w14:paraId="7EED8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1E86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EBF4E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辅材</w:t>
            </w:r>
          </w:p>
        </w:tc>
        <w:tc>
          <w:tcPr>
            <w:tcW w:w="32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DD4B4">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双色漆，扎带、PVC管、反光带，模板、膨胀螺丝、电胶布。</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C91C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批</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227B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C01E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1000</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93FE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1000</w:t>
            </w:r>
          </w:p>
        </w:tc>
      </w:tr>
      <w:tr w14:paraId="02687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678"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7B13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合计</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27E3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78591.65</w:t>
            </w:r>
          </w:p>
        </w:tc>
      </w:tr>
    </w:tbl>
    <w:p w14:paraId="5A9F67BB">
      <w:pPr>
        <w:spacing w:line="510" w:lineRule="exact"/>
        <w:rPr>
          <w:rFonts w:ascii="宋体" w:hAnsi="宋体" w:eastAsia="宋体" w:cs="宋体"/>
          <w:color w:val="auto"/>
          <w:sz w:val="24"/>
          <w:highlight w:val="none"/>
        </w:rPr>
      </w:pPr>
    </w:p>
    <w:p w14:paraId="22E8F99C">
      <w:pPr>
        <w:spacing w:line="510" w:lineRule="exact"/>
        <w:rPr>
          <w:rFonts w:ascii="宋体" w:hAnsi="宋体" w:eastAsia="宋体" w:cs="宋体"/>
          <w:color w:val="auto"/>
          <w:sz w:val="24"/>
          <w:highlight w:val="none"/>
        </w:rPr>
      </w:pPr>
    </w:p>
    <w:p w14:paraId="1BBAE69C">
      <w:pPr>
        <w:spacing w:line="510" w:lineRule="exact"/>
        <w:rPr>
          <w:rFonts w:ascii="宋体" w:hAnsi="宋体" w:eastAsia="宋体" w:cs="宋体"/>
          <w:color w:val="auto"/>
          <w:sz w:val="24"/>
          <w:highlight w:val="none"/>
        </w:rPr>
      </w:pPr>
    </w:p>
    <w:p w14:paraId="55CBE3F6">
      <w:pPr>
        <w:rPr>
          <w:rFonts w:ascii="宋体" w:hAnsi="宋体" w:eastAsia="宋体" w:cs="宋体"/>
          <w:color w:val="auto"/>
          <w:sz w:val="24"/>
          <w:highlight w:val="none"/>
        </w:rPr>
      </w:pPr>
      <w:r>
        <w:rPr>
          <w:rFonts w:ascii="宋体" w:hAnsi="宋体" w:eastAsia="宋体" w:cs="宋体"/>
          <w:color w:val="auto"/>
          <w:sz w:val="24"/>
          <w:highlight w:val="none"/>
        </w:rPr>
        <w:br w:type="page"/>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6"/>
        <w:gridCol w:w="2031"/>
        <w:gridCol w:w="8022"/>
        <w:gridCol w:w="876"/>
        <w:gridCol w:w="546"/>
        <w:gridCol w:w="876"/>
        <w:gridCol w:w="1206"/>
      </w:tblGrid>
      <w:tr w14:paraId="11BE8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00" w:type="pct"/>
            <w:gridSpan w:val="7"/>
            <w:tcBorders>
              <w:top w:val="nil"/>
              <w:left w:val="nil"/>
              <w:bottom w:val="nil"/>
              <w:right w:val="nil"/>
            </w:tcBorders>
            <w:shd w:val="clear" w:color="auto" w:fill="auto"/>
            <w:noWrap/>
            <w:vAlign w:val="center"/>
          </w:tcPr>
          <w:p w14:paraId="183D0C7B">
            <w:pPr>
              <w:keepNext w:val="0"/>
              <w:keepLines w:val="0"/>
              <w:widowControl/>
              <w:suppressLineNumbers w:val="0"/>
              <w:jc w:val="center"/>
              <w:textAlignment w:val="center"/>
              <w:rPr>
                <w:rFonts w:hint="eastAsia" w:ascii="宋体" w:hAnsi="宋体" w:eastAsia="宋体" w:cs="宋体"/>
                <w:b/>
                <w:bCs/>
                <w:i w:val="0"/>
                <w:iCs w:val="0"/>
                <w:color w:val="auto"/>
                <w:sz w:val="32"/>
                <w:szCs w:val="32"/>
                <w:highlight w:val="none"/>
                <w:u w:val="none"/>
              </w:rPr>
            </w:pPr>
            <w:r>
              <w:rPr>
                <w:rFonts w:hint="eastAsia" w:ascii="宋体" w:hAnsi="宋体" w:eastAsia="宋体" w:cs="宋体"/>
                <w:b/>
                <w:bCs/>
                <w:i w:val="0"/>
                <w:iCs w:val="0"/>
                <w:color w:val="auto"/>
                <w:kern w:val="0"/>
                <w:sz w:val="32"/>
                <w:szCs w:val="32"/>
                <w:highlight w:val="none"/>
                <w:u w:val="none"/>
                <w:lang w:val="en-US" w:eastAsia="zh-CN" w:bidi="ar"/>
              </w:rPr>
              <w:t>湘顺小区东侧停车场停车系统及高清监控系统设备清单</w:t>
            </w:r>
          </w:p>
        </w:tc>
      </w:tr>
      <w:tr w14:paraId="79B32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2A6F6">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序号</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B929BD">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产品名称</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2FBC25">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技术参数</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AD35E">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单位</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E6E079">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数量</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B28CD">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含税单价</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BECD9">
            <w:pPr>
              <w:keepNext w:val="0"/>
              <w:keepLines w:val="0"/>
              <w:widowControl/>
              <w:suppressLineNumbers w:val="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小计（元）</w:t>
            </w:r>
          </w:p>
        </w:tc>
      </w:tr>
      <w:tr w14:paraId="43F9F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9459D">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一、停车场入口道闸</w:t>
            </w:r>
          </w:p>
        </w:tc>
      </w:tr>
      <w:tr w14:paraId="522C8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B3D8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AEC3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智能道闸</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FB8D7">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1、闸杆类型：广告道闸主机，配套广告杆。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2、闸杆：广告道闸杆件，左右向通用，采用铝合金材质，底部标配弹性防砸胶条。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3、使用直流变频控制器，升落杆速度可调，闸杆运行平稳</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4、可通过485接口连接相机，通过相机web端可读取道闸状态包括运行次数和运行状态。并且可以读取道闸运行日志。</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5、采用高亮LED灯条，光敏传感器自动控制亮灯，高效智能</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6、支持道闸计数模式、支持延迟落杆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7、支持一键车队模式，按住遥控器停止键10s即可实现道闸常开模式，在常开模式下地感、雷达给的关信号应不起作用</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1445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4346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5AFC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6500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1CB7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13000</w:t>
            </w:r>
          </w:p>
        </w:tc>
      </w:tr>
      <w:tr w14:paraId="46740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02D1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EF08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防砸雷达</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8163C">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1、支持宽电压范围为：DC9V~16V，一般采用DC12V供电。功耗≤3W。</w:t>
            </w:r>
          </w:p>
          <w:p w14:paraId="26AAA013">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2、设备具有电源和状态指示灯，实时反映是否有车或有人。</w:t>
            </w:r>
          </w:p>
          <w:p w14:paraId="69C5A29B">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3、通过毫米波雷达可进行检测车辆和行人，支持单人过滤。设备具有遇阻反弹功能，当闸杆下落时，遇到物体阻挡将立即开闸。</w:t>
            </w:r>
          </w:p>
          <w:p w14:paraId="335D9F70">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在触发雷达作用区域内，车速30km/h以内，触发捕获率大于99%。（实测100次，捕获率100%）具有人车区分功能。可对行人和车辆进行区分，控制触发。触发模式具有区分方向功能，方向区分成功率大于95%。（实测100次，捕获率100%）</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5524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8277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D0026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680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C62E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1360</w:t>
            </w:r>
          </w:p>
        </w:tc>
      </w:tr>
      <w:tr w14:paraId="300B5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A1FF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2FD2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一体机</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D9FD5">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1.高度集成，集摄像机、LCD显示屏、LED补光灯、镜头、拾音器、喇叭功放于一体。要求其中摄像机不小于400万像素，LCD屏幕≥10.1 寸，内置9颗高亮LED灯以上，智能补光技术，支持时控和光控；</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2.宽动态设置检查:具有宽动态设置选项，并可通过菜单设置功能开启/关闭</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3.黑白名单同步和比对功能检查：联网时，可与后台的黑白名单同步，并进行比对和管控；断网时，可使用本地保存的黑白名单进行比对和管控。</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车牌识别功能检查：支持识别大（小）型汽车、使领馆汽车、警用汽车、军车、新能源汽车（小车的绿色和大车的黄绿色的车牌号；支持识别倾斜角度0°~30°的车牌号；支持识别相机法线与行车方向角度小于65°的车牌号；支持识别车牌宽度范围为70像素~300像素的车牌号</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5、支持相机上电启动加热除雾，加热除雾支持按照时间、自动、关闭、开启设置</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1623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3AB8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FB06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F9CB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3200</w:t>
            </w:r>
          </w:p>
        </w:tc>
      </w:tr>
      <w:tr w14:paraId="785CF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A9D5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A224A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8口交换机</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CD531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8口千兆</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E8F0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FA58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FF4F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25D6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r>
      <w:tr w14:paraId="5CEDF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224CC">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二、停车场出口道闸</w:t>
            </w:r>
          </w:p>
        </w:tc>
      </w:tr>
      <w:tr w14:paraId="7E41D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DB65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8CBA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智能道闸</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B0EF4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1、闸杆类型：广告道闸主机，配套广告杆。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2、闸杆：广告道闸杆件，左右向通用，采用铝合金材质，底部标配弹性防砸胶条。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3、使用直流变频控制器，升落杆速度可调，闸杆运行平稳</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4、可通过485接口连接相机，通过相机web端可读取道闸状态包括运行次数和运行状态。并且可以读取道闸运行日志。</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5、采用高亮LED灯条，光敏传感器自动控制亮灯，高效智能</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6、支持道闸计数模式、支持延迟落杆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7、支持一键车队模式，按住遥控器停止键10s即可实现道闸常开模式，在常开模式下地感、雷达给的关信号应不起作用</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5660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C8B9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D349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6500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1D40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13000</w:t>
            </w:r>
          </w:p>
        </w:tc>
      </w:tr>
      <w:tr w14:paraId="24F81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63F5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7ACA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防砸雷达</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F1E476">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1、支持宽电压范围为：DC9V~16V，一般采用DC12V供电。功耗≤3W。</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2、设备具有电源和状态指示灯，实时反映是否有车或有人。</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3、通过毫米波雷达可进行检测车辆和行人，支持单人过滤。设备具有遇阻反弹功</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能，当闸杆下落时，遇到物体阻挡将立即开闸。</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在触发雷达作用区域内，车速30km/h以内，触发捕获率大于99%。（实测100次，捕获率100%）具有人车区分功能。可对行人和车辆进行区分，控制触发。触发模式具有区分方向功能，方向区分成功率大于95%。（实测100次，捕获率100%）</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3984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5285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E65C8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680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D6C0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1360</w:t>
            </w:r>
          </w:p>
        </w:tc>
      </w:tr>
      <w:tr w14:paraId="644E7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AAB3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FD3D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一体机</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3FC5E6">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1.高度集成，集摄像机、LCD显示屏、LED补光灯、镜头、拾音器、喇叭功放于一体。要求其中摄像机不小于400万像素，LCD屏幕≥10.1 寸，内置9颗高亮LED灯以上，智能补光技术，支持时控和光控；</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2.宽动态设置检查:具有宽动态设置选项，并可通过菜单设置功能开启/关闭</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3.黑白名单同步和比对功能检查：联网时，可与后台的黑白名单同步，并进行比对和思邈公寓东侧停车场停车系统及高清监控系统设备清单序号 产 品 名 称 设备参数 数量 单位管控；断网时，可使用本地保存的黑白名单进行比对和管控。</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车牌识别功能检查：支持识别大（小）型汽车、使领馆汽车、警用汽车、军车、新能源汽车（小车的绿色和大车的黄绿色的车牌号；支持识别倾斜角度0°~30°的车牌号；支持识别相机法线与行车方向角度小于65°的车牌号；支持识别车牌宽度范围为70像素~300像素的车牌号</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5、支持相机上电启动加热除雾，加热除雾支持按照时间、自动、关闭、开启设置。</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9A04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9C73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B170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B505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3200</w:t>
            </w:r>
          </w:p>
        </w:tc>
      </w:tr>
      <w:tr w14:paraId="631BB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0B14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6F1E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机器人</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186FB">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1、支持现场无人值守功能；各通道立运行，管理车辆正常出入、自主计费；</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2、支持自助缴费功能：提供动静态二维码、场内、出场微信、扫码支付；</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3、支持无牌车扫码进出；</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4、≥15寸LED高亮屏，提供阳光下高清可见。</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b/>
                <w:bCs/>
                <w:i w:val="0"/>
                <w:iCs w:val="0"/>
                <w:color w:val="auto"/>
                <w:kern w:val="0"/>
                <w:sz w:val="18"/>
                <w:szCs w:val="18"/>
                <w:highlight w:val="none"/>
                <w:u w:val="none"/>
                <w:lang w:val="en-US" w:eastAsia="zh-CN" w:bidi="ar"/>
              </w:rPr>
              <w:t>5、要求与现有平台进行无缝对接，并提供承诺函。如不能对接，所有产生的所有对接费用、延期造成的经济损失由投标人承担。</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EC07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A6FA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9D16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8500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2D75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17000</w:t>
            </w:r>
          </w:p>
        </w:tc>
      </w:tr>
      <w:tr w14:paraId="29F8C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031D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E0F4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8口交换机</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4A212">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8口千兆</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9E51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94AB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B7F7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ADAA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r>
      <w:tr w14:paraId="7703A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F901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6C3A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安全岛</w:t>
            </w:r>
          </w:p>
        </w:tc>
        <w:tc>
          <w:tcPr>
            <w:tcW w:w="3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5DC0E">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定制</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0CDB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座</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BDEE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5E95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468.66</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C28E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937.32</w:t>
            </w:r>
          </w:p>
        </w:tc>
      </w:tr>
      <w:tr w14:paraId="3A3BC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A6A7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6D7E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震荡标线减速带</w:t>
            </w:r>
          </w:p>
        </w:tc>
        <w:tc>
          <w:tcPr>
            <w:tcW w:w="3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6BD0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根据现场情况安装定制。</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448E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平方米</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91EC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20</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4E7D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116.62</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5209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2332.4</w:t>
            </w:r>
          </w:p>
        </w:tc>
      </w:tr>
      <w:tr w14:paraId="194E8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52A61">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三、监控前端设备</w:t>
            </w:r>
          </w:p>
        </w:tc>
      </w:tr>
      <w:tr w14:paraId="05653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F10A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BF2B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400万高清枪式摄像机</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AE5960">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1.网络枪型摄像机，视频压缩标准支持H.265/H.264,摄像机不小于400万像素,最大分辨率3200 × 1800，水平分辨率不低于1800线；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2.最低照度彩色：0.0005 lx,白光补光可识别不小于30米处的人体。</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3.不低于IP66防尘防水等级。</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CA4B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D522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0DA8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725</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33B9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13050</w:t>
            </w:r>
          </w:p>
        </w:tc>
      </w:tr>
      <w:tr w14:paraId="56083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C4EF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F281F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枪机支架</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06502">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1.一体型摄像机壁装支架；</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2.材质：铝合金；</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7393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2308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0677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25</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83A7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450</w:t>
            </w:r>
          </w:p>
        </w:tc>
      </w:tr>
      <w:tr w14:paraId="038D7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303E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535C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壁挂箱</w:t>
            </w:r>
          </w:p>
        </w:tc>
        <w:tc>
          <w:tcPr>
            <w:tcW w:w="3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ABB3C">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尺寸及规格：300*300*400，壁厚2mm，含空开，排插、导轨</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0E9B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FD4A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4D68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420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F052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3360</w:t>
            </w:r>
          </w:p>
        </w:tc>
      </w:tr>
      <w:tr w14:paraId="2AE83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DA26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BB67D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监控立杆</w:t>
            </w:r>
          </w:p>
        </w:tc>
        <w:tc>
          <w:tcPr>
            <w:tcW w:w="3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95A1F">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4.5米</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F5DE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根</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0281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485A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F969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3200</w:t>
            </w:r>
          </w:p>
        </w:tc>
      </w:tr>
      <w:tr w14:paraId="27DA8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1C32B">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四、监控控制设备</w:t>
            </w:r>
          </w:p>
        </w:tc>
      </w:tr>
      <w:tr w14:paraId="506E3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6979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A06A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光纤收发器</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78CBC">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1.名称：POE光纤收发器；</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2、一光八电</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B608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对</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B3FC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8B40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460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0257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4600</w:t>
            </w:r>
          </w:p>
        </w:tc>
      </w:tr>
      <w:tr w14:paraId="747A3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948D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1F8E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收发器机架</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622FA">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1、2U机架式； 2、电源输入:AC110V-265V；3、工作温度:-20℃~70℃；4、电源配</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置:双电源热备份；5、电源输出:DC5V12A；6、工作湿度:5%-90%</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423F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8F3E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E980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9AAF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r>
      <w:tr w14:paraId="0C4C5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8009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94DF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24口交换机</w:t>
            </w:r>
          </w:p>
        </w:tc>
        <w:tc>
          <w:tcPr>
            <w:tcW w:w="3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A5E9D">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千兆光口≥4，千兆电口≥24；包转发率≥51Mpps，交换容量≥336Gbps；</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93D2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0516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80CD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3780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BA20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3780</w:t>
            </w:r>
          </w:p>
        </w:tc>
      </w:tr>
      <w:tr w14:paraId="2124E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B16A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B674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32路硬盘录像机</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CE09A">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1.机架式嵌入式网络硬盘录像机,具有2个HDMI接口、2个VGA接口、2个RJ45 千兆网络接口；2个USB2.0接口、2个USB3.0接口、1个RS232接口、1个RS485接口（可接入RS485键盘）；具有1路音频输入接口、2路音频输出接口、16路报警输入接口、9路报警输出接口（其中第9路支持受控直流12V输出）、具有1路直流12V输出接口（12V 1A）、可内置≥8块SATA接口硬盘；</w:t>
            </w:r>
          </w:p>
          <w:p w14:paraId="0277B2BB">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2.支持Normal和Rescue两个系统模式之间进行切换，当Normal系统无法正常启动时，可通过Rescue系统将Normal系统修复；</w:t>
            </w:r>
          </w:p>
          <w:p w14:paraId="4898E5CB">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3.可接入 1T、2T、3T、4T、6T、8T、10T、12TB、14TB、16TB容量的 SATA接口硬盘；可接入 AI 硬盘； 支持不同品牌、不同转速的监控级和企业级硬盘混合接入;</w:t>
            </w:r>
          </w:p>
          <w:p w14:paraId="2940EE7C">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4.支持最大接入带宽 384Mbps，最大存储带宽 384Mbps，最大转发带宽 384Mbps</w:t>
            </w:r>
          </w:p>
          <w:p w14:paraId="65FBC40C">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支持接入具有点火检测、测温及温差检测报警功能的摄像机，可通过客户端软件以热成像方式显示预览画面，当触发报警时，可联动录像、抓拍图片、弹出报警画面、发送语音提示、上传中心、发送邮件、蜂鸣报警、轮巡、云台联动以及日志记录；</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5FC8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4579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C8C1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8955</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15EE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8955</w:t>
            </w:r>
          </w:p>
        </w:tc>
      </w:tr>
      <w:tr w14:paraId="4ACAD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0737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1C3CF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6T监控级硬盘（监控级）</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07FDE">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1.名称：监控级硬盘；</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2.类型：6TB,256MB,SATA 6Gb/s；</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D341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块</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A9BB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DDA2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920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D3CD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920</w:t>
            </w:r>
          </w:p>
        </w:tc>
      </w:tr>
      <w:tr w14:paraId="0EBB8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909AE">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五、监控传输设备</w:t>
            </w:r>
          </w:p>
        </w:tc>
      </w:tr>
      <w:tr w14:paraId="39259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2330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8FAD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12芯万兆单模光纤</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14CF13">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1.名称：12芯万兆单模光纤</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2.采用扎纹钢带铠装护套和钢丝加强件，抗拉、抗压，具有良好的机械性能</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3.外护套采用聚乙烯PE料，添加UV防晒材料，具有抗UV、耐高低温、不易老化</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A74E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7ABF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826</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43C9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7.5</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1D6F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6195</w:t>
            </w:r>
          </w:p>
        </w:tc>
      </w:tr>
      <w:tr w14:paraId="2B2D1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0A09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D1A3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网络控制线UTP6</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030B16">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1.导体：23AWG实心无氧铜（铜芯线径0.57mm）</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 xml:space="preserve">2. 绝缘层：高密度聚乙烯（HDPE），厚度：0.2mm </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 外护套：聚氯乙烯（PVC）厚度：0.55mm</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 线缆结构：4对8芯双绞线,每对之间采用十字骨架隔离,每芯均有颜色区分,外皮印有厂商标识及电缆编码，有撕裂绳，线缆外径6.3mm</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38C1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F3A0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487</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489E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0DDC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1948</w:t>
            </w:r>
          </w:p>
        </w:tc>
      </w:tr>
      <w:tr w14:paraId="59981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BB21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EE50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电源线RVV2*1.5</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34723B">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 电源线；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2.型号、规格:RVV2×1.5mm2；</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0383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8558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624</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7E60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3.17</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EFDF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1978.08</w:t>
            </w:r>
          </w:p>
        </w:tc>
      </w:tr>
      <w:tr w14:paraId="5C8B4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A7AF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ED86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电源线RVV2*2.5</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CC28A">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 电源线；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2.型号、规格:RVV2×2.5mm2；</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009E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8CDD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473</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BC83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4.81</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518B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2275.13</w:t>
            </w:r>
          </w:p>
        </w:tc>
      </w:tr>
      <w:tr w14:paraId="54030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A9DC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9D20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配管PVC25</w:t>
            </w:r>
          </w:p>
        </w:tc>
        <w:tc>
          <w:tcPr>
            <w:tcW w:w="3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36E56">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25PVC，1.5mm厚，国标。</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59FA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C862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184</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EE3A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3.81</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1A86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701.04</w:t>
            </w:r>
          </w:p>
        </w:tc>
      </w:tr>
      <w:tr w14:paraId="70849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8B6B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8F73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4口光纤终端盒</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98214C">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 模块化结构，由基本框架组成，可以兼职ST、FC、SC、LC四种规格的适配器</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 自带盘纤架，为光缆端接和安装提供坚固的保护</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 材料：优质冷扎钢板</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7480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E91A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1755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125</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8BEE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1000</w:t>
            </w:r>
          </w:p>
        </w:tc>
      </w:tr>
      <w:tr w14:paraId="70E3C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F106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8516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12口光纤配线架</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7E58F">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 模块化结构，由基本框架组成，可以兼职ST、FC、SC、LC四种规格的适配器</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 自带盘纤架，为光缆端接和安装提供坚固的保护</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 材料：优质冷扎钢板</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76ED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2177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1CCE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316</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D9D0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316</w:t>
            </w:r>
          </w:p>
        </w:tc>
      </w:tr>
      <w:tr w14:paraId="23C06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B483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698D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光纤尾纤</w:t>
            </w:r>
          </w:p>
        </w:tc>
        <w:tc>
          <w:tcPr>
            <w:tcW w:w="3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0EF57">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3米</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9C6E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根</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D7BF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EB48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A322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396</w:t>
            </w:r>
          </w:p>
        </w:tc>
      </w:tr>
      <w:tr w14:paraId="48C62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5DAE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C377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光纤跳线</w:t>
            </w:r>
          </w:p>
        </w:tc>
        <w:tc>
          <w:tcPr>
            <w:tcW w:w="3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0DAA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5米</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DF6D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根</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69F5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AFB3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51E6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352</w:t>
            </w:r>
          </w:p>
        </w:tc>
      </w:tr>
      <w:tr w14:paraId="69B81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AB81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9B79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光纤熔接</w:t>
            </w:r>
          </w:p>
        </w:tc>
        <w:tc>
          <w:tcPr>
            <w:tcW w:w="3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7285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定制</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3ADE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0831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041F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976D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w:t>
            </w:r>
          </w:p>
        </w:tc>
      </w:tr>
      <w:tr w14:paraId="724D6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06E6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25E6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交接箱</w:t>
            </w:r>
          </w:p>
        </w:tc>
        <w:tc>
          <w:tcPr>
            <w:tcW w:w="31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6DF16">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1.名称：室外防水落地交接箱；</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2.材质：金属，板厚3mm，含空开，排插、导轨；600*450*800mm，含模板定制安装；</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D1B5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4AB6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EA17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670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486F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670</w:t>
            </w:r>
          </w:p>
        </w:tc>
      </w:tr>
      <w:tr w14:paraId="5C0EF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4F2F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D418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辅材</w:t>
            </w:r>
          </w:p>
        </w:tc>
        <w:tc>
          <w:tcPr>
            <w:tcW w:w="31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95EB0">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双色漆，扎带、PVC管、反光带，模板、膨胀螺丝、电胶布。</w:t>
            </w:r>
          </w:p>
        </w:tc>
        <w:tc>
          <w:tcPr>
            <w:tcW w:w="2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CA0B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批</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7EF3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A36A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2150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A548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2150</w:t>
            </w:r>
          </w:p>
        </w:tc>
      </w:tr>
      <w:tr w14:paraId="57A75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641"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507B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合计</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C7B7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113207.97</w:t>
            </w:r>
          </w:p>
        </w:tc>
      </w:tr>
    </w:tbl>
    <w:p w14:paraId="3493464E">
      <w:pPr>
        <w:spacing w:line="510" w:lineRule="exact"/>
        <w:rPr>
          <w:rFonts w:ascii="宋体" w:hAnsi="宋体" w:eastAsia="宋体" w:cs="宋体"/>
          <w:color w:val="auto"/>
          <w:sz w:val="24"/>
          <w:highlight w:val="none"/>
        </w:rPr>
      </w:pPr>
    </w:p>
    <w:p w14:paraId="63C5B085">
      <w:pPr>
        <w:spacing w:line="510" w:lineRule="exact"/>
        <w:rPr>
          <w:rFonts w:ascii="宋体" w:hAnsi="宋体" w:eastAsia="宋体" w:cs="宋体"/>
          <w:color w:val="auto"/>
          <w:sz w:val="24"/>
          <w:highlight w:val="none"/>
        </w:rPr>
      </w:pPr>
    </w:p>
    <w:p w14:paraId="20B54215">
      <w:pPr>
        <w:spacing w:line="510" w:lineRule="exact"/>
        <w:rPr>
          <w:rFonts w:ascii="宋体" w:hAnsi="宋体" w:eastAsia="宋体" w:cs="宋体"/>
          <w:color w:val="auto"/>
          <w:sz w:val="24"/>
          <w:highlight w:val="none"/>
        </w:rPr>
      </w:pPr>
    </w:p>
    <w:p w14:paraId="0C339A3F">
      <w:pPr>
        <w:spacing w:line="510" w:lineRule="exact"/>
        <w:rPr>
          <w:rFonts w:ascii="宋体" w:hAnsi="宋体" w:eastAsia="宋体" w:cs="宋体"/>
          <w:color w:val="auto"/>
          <w:sz w:val="24"/>
          <w:highlight w:val="none"/>
        </w:rPr>
      </w:pPr>
    </w:p>
    <w:p w14:paraId="41534C82">
      <w:pPr>
        <w:spacing w:line="510" w:lineRule="exact"/>
        <w:rPr>
          <w:rFonts w:ascii="宋体" w:hAnsi="宋体" w:eastAsia="宋体" w:cs="宋体"/>
          <w:color w:val="auto"/>
          <w:sz w:val="24"/>
          <w:highlight w:val="none"/>
        </w:rPr>
        <w:sectPr>
          <w:pgSz w:w="16838" w:h="11905" w:orient="landscape"/>
          <w:pgMar w:top="1531" w:right="1531" w:bottom="1531" w:left="1531" w:header="850" w:footer="992" w:gutter="0"/>
          <w:cols w:space="0" w:num="1"/>
          <w:docGrid w:type="lines" w:linePitch="315" w:charSpace="0"/>
        </w:sectPr>
      </w:pPr>
    </w:p>
    <w:p w14:paraId="729EE2E5">
      <w:pPr>
        <w:spacing w:line="510" w:lineRule="exact"/>
        <w:rPr>
          <w:rFonts w:ascii="宋体" w:hAnsi="宋体" w:eastAsia="宋体" w:cs="宋体"/>
          <w:color w:val="auto"/>
          <w:sz w:val="24"/>
          <w:highlight w:val="none"/>
        </w:rPr>
      </w:pPr>
      <w:r>
        <w:rPr>
          <w:rFonts w:ascii="宋体" w:hAnsi="宋体" w:eastAsia="宋体" w:cs="宋体"/>
          <w:color w:val="auto"/>
          <w:sz w:val="32"/>
          <w:highlight w:val="none"/>
          <w:lang w:val="zh-CN"/>
        </w:rPr>
        <w:pict>
          <v:shape id="_x0000_s1026" o:spid="_x0000_s1026" o:spt="202" type="#_x0000_t202" style="position:absolute;left:0pt;margin-left:363.85pt;margin-top:13.2pt;height:56.4pt;width:96pt;z-index:251659264;mso-width-relative:page;mso-height-relative:page;" coordsize="21600,21600" o:gfxdata="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AAAAAGRycy9QSwECFAAUAAAACACHTuJAikimddYA&#10;AAAKAQAADwAAAAAAAAABACAAAAAiAAAAZHJzL2Rvd25yZXYueG1sUEsBAhQAFAAAAAgAh07iQPG6&#10;uDWTAgAALgUAAA4AAAAAAAAAAQAgAAAAJQEAAGRycy9lMm9Eb2MueG1sUEsFBgAAAAAGAAYAWQEA&#10;ACoGAAAAAA==&#10;">
            <v:path/>
            <v:fill focussize="0,0"/>
            <v:stroke weight="0.5pt" joinstyle="miter"/>
            <v:imagedata o:title=""/>
            <o:lock v:ext="edit"/>
            <v:shadow on="t" color="#243F60" opacity="32768f" offset="1pt,2pt"/>
            <v:textbox>
              <w:txbxContent>
                <w:p w14:paraId="6CFDE4DA">
                  <w:pPr>
                    <w:rPr>
                      <w:rFonts w:ascii="仿宋_GB2312" w:hAnsi="Times New Roman" w:eastAsia="仿宋_GB2312" w:cs="Times New Roman"/>
                      <w:b/>
                      <w:sz w:val="24"/>
                    </w:rPr>
                  </w:pPr>
                  <w:r>
                    <w:rPr>
                      <w:rFonts w:hint="eastAsia" w:ascii="宋体" w:hAnsi="宋体" w:eastAsia="宋体" w:cs="宋体"/>
                      <w:b/>
                      <w:sz w:val="32"/>
                    </w:rPr>
                    <w:t>正本/副本</w:t>
                  </w:r>
                </w:p>
              </w:txbxContent>
            </v:textbox>
          </v:shape>
        </w:pict>
      </w:r>
    </w:p>
    <w:p w14:paraId="5DCC6C46">
      <w:pPr>
        <w:widowControl/>
        <w:overflowPunct w:val="0"/>
        <w:rPr>
          <w:rFonts w:ascii="宋体" w:hAnsi="宋体" w:eastAsia="宋体" w:cs="宋体"/>
          <w:color w:val="auto"/>
          <w:sz w:val="32"/>
          <w:highlight w:val="none"/>
        </w:rPr>
      </w:pPr>
    </w:p>
    <w:p w14:paraId="6FCBB7A0">
      <w:pPr>
        <w:overflowPunct w:val="0"/>
        <w:spacing w:beforeLines="100"/>
        <w:jc w:val="center"/>
        <w:rPr>
          <w:rFonts w:ascii="宋体" w:hAnsi="宋体" w:eastAsia="宋体" w:cs="宋体"/>
          <w:bCs/>
          <w:color w:val="auto"/>
          <w:sz w:val="36"/>
          <w:szCs w:val="36"/>
          <w:highlight w:val="none"/>
        </w:rPr>
      </w:pPr>
    </w:p>
    <w:p w14:paraId="581B9AC4">
      <w:pPr>
        <w:overflowPunct w:val="0"/>
        <w:spacing w:beforeLines="100"/>
        <w:jc w:val="center"/>
        <w:rPr>
          <w:rFonts w:ascii="宋体" w:hAnsi="宋体" w:eastAsia="宋体" w:cs="宋体"/>
          <w:color w:val="auto"/>
          <w:sz w:val="52"/>
          <w:szCs w:val="52"/>
          <w:highlight w:val="none"/>
        </w:rPr>
      </w:pPr>
      <w:r>
        <w:rPr>
          <w:rFonts w:hint="eastAsia" w:ascii="宋体" w:hAnsi="宋体" w:eastAsia="宋体" w:cs="宋体"/>
          <w:bCs/>
          <w:color w:val="auto"/>
          <w:sz w:val="36"/>
          <w:szCs w:val="36"/>
          <w:highlight w:val="none"/>
          <w:lang w:eastAsia="zh-CN"/>
        </w:rPr>
        <w:t>浏阳市2023年北正社区中医院等9个老旧小区配套基础设施改造项目（自来水公司宿舍东侧等三个停车场设备采购安装）（第二次）</w:t>
      </w:r>
      <w:r>
        <w:rPr>
          <w:rFonts w:hint="eastAsia" w:ascii="宋体" w:hAnsi="宋体" w:eastAsia="宋体" w:cs="宋体"/>
          <w:color w:val="auto"/>
          <w:sz w:val="52"/>
          <w:szCs w:val="52"/>
          <w:highlight w:val="none"/>
        </w:rPr>
        <w:t>投 标 文 件</w:t>
      </w:r>
    </w:p>
    <w:p w14:paraId="64946982">
      <w:pPr>
        <w:widowControl/>
        <w:overflowPunct w:val="0"/>
        <w:rPr>
          <w:rFonts w:ascii="宋体" w:hAnsi="宋体" w:eastAsia="宋体" w:cs="宋体"/>
          <w:color w:val="auto"/>
          <w:sz w:val="32"/>
          <w:highlight w:val="none"/>
        </w:rPr>
      </w:pPr>
    </w:p>
    <w:p w14:paraId="12942438">
      <w:pPr>
        <w:widowControl/>
        <w:overflowPunct w:val="0"/>
        <w:rPr>
          <w:rFonts w:ascii="宋体" w:hAnsi="宋体" w:eastAsia="宋体" w:cs="宋体"/>
          <w:color w:val="auto"/>
          <w:sz w:val="32"/>
          <w:highlight w:val="none"/>
        </w:rPr>
      </w:pPr>
    </w:p>
    <w:p w14:paraId="1E06B7A8">
      <w:pPr>
        <w:widowControl/>
        <w:overflowPunct w:val="0"/>
        <w:rPr>
          <w:rFonts w:ascii="宋体" w:hAnsi="宋体" w:eastAsia="宋体" w:cs="宋体"/>
          <w:color w:val="auto"/>
          <w:sz w:val="32"/>
          <w:highlight w:val="none"/>
        </w:rPr>
      </w:pPr>
    </w:p>
    <w:p w14:paraId="3C6307A1">
      <w:pPr>
        <w:widowControl/>
        <w:overflowPunct w:val="0"/>
        <w:rPr>
          <w:rFonts w:ascii="宋体" w:hAnsi="宋体" w:eastAsia="宋体" w:cs="宋体"/>
          <w:color w:val="auto"/>
          <w:sz w:val="32"/>
          <w:highlight w:val="none"/>
        </w:rPr>
      </w:pPr>
    </w:p>
    <w:p w14:paraId="2B65D77E">
      <w:pPr>
        <w:widowControl/>
        <w:overflowPunct w:val="0"/>
        <w:rPr>
          <w:rFonts w:ascii="宋体" w:hAnsi="宋体" w:eastAsia="宋体" w:cs="宋体"/>
          <w:color w:val="auto"/>
          <w:sz w:val="32"/>
          <w:highlight w:val="none"/>
        </w:rPr>
      </w:pPr>
    </w:p>
    <w:p w14:paraId="6A3A6E0C">
      <w:pPr>
        <w:widowControl/>
        <w:overflowPunct w:val="0"/>
        <w:rPr>
          <w:rFonts w:ascii="宋体" w:hAnsi="宋体" w:eastAsia="宋体" w:cs="宋体"/>
          <w:color w:val="auto"/>
          <w:sz w:val="32"/>
          <w:highlight w:val="none"/>
        </w:rPr>
      </w:pPr>
    </w:p>
    <w:p w14:paraId="0EF06747">
      <w:pPr>
        <w:widowControl/>
        <w:overflowPunct w:val="0"/>
        <w:rPr>
          <w:rFonts w:ascii="宋体" w:hAnsi="宋体" w:eastAsia="宋体" w:cs="宋体"/>
          <w:color w:val="auto"/>
          <w:sz w:val="32"/>
          <w:highlight w:val="none"/>
        </w:rPr>
      </w:pPr>
    </w:p>
    <w:p w14:paraId="018EAA27">
      <w:pPr>
        <w:widowControl/>
        <w:overflowPunct w:val="0"/>
        <w:rPr>
          <w:rFonts w:ascii="宋体" w:hAnsi="宋体" w:eastAsia="宋体" w:cs="宋体"/>
          <w:color w:val="auto"/>
          <w:sz w:val="32"/>
          <w:highlight w:val="none"/>
        </w:rPr>
      </w:pPr>
    </w:p>
    <w:p w14:paraId="5F88DA7C">
      <w:pPr>
        <w:widowControl/>
        <w:overflowPunct w:val="0"/>
        <w:rPr>
          <w:rFonts w:ascii="宋体" w:hAnsi="宋体" w:eastAsia="宋体" w:cs="宋体"/>
          <w:color w:val="auto"/>
          <w:sz w:val="32"/>
          <w:highlight w:val="none"/>
        </w:rPr>
      </w:pPr>
    </w:p>
    <w:p w14:paraId="3ACCB16A">
      <w:pPr>
        <w:overflowPunct w:val="0"/>
        <w:jc w:val="left"/>
        <w:rPr>
          <w:rFonts w:ascii="宋体" w:hAnsi="宋体" w:eastAsia="宋体" w:cs="宋体"/>
          <w:color w:val="auto"/>
          <w:sz w:val="24"/>
          <w:szCs w:val="28"/>
          <w:highlight w:val="none"/>
        </w:rPr>
      </w:pPr>
    </w:p>
    <w:p w14:paraId="1DA1FFE3">
      <w:pPr>
        <w:overflowPunct w:val="0"/>
        <w:jc w:val="left"/>
        <w:rPr>
          <w:rFonts w:ascii="宋体" w:hAnsi="宋体" w:eastAsia="宋体" w:cs="宋体"/>
          <w:color w:val="auto"/>
          <w:sz w:val="24"/>
          <w:szCs w:val="28"/>
          <w:highlight w:val="none"/>
        </w:rPr>
      </w:pPr>
    </w:p>
    <w:p w14:paraId="60B3B746">
      <w:pPr>
        <w:overflowPunct w:val="0"/>
        <w:ind w:firstLine="2160" w:firstLineChars="900"/>
        <w:jc w:val="left"/>
        <w:rPr>
          <w:rFonts w:ascii="宋体" w:hAnsi="宋体" w:eastAsia="宋体" w:cs="宋体"/>
          <w:color w:val="auto"/>
          <w:sz w:val="24"/>
          <w:szCs w:val="28"/>
          <w:highlight w:val="none"/>
        </w:rPr>
      </w:pPr>
      <w:r>
        <w:rPr>
          <w:rFonts w:hint="eastAsia" w:ascii="宋体" w:hAnsi="宋体" w:eastAsia="宋体" w:cs="宋体"/>
          <w:color w:val="auto"/>
          <w:sz w:val="24"/>
          <w:szCs w:val="28"/>
          <w:highlight w:val="none"/>
        </w:rPr>
        <w:t>投 标 人：（盖单位章）</w:t>
      </w:r>
    </w:p>
    <w:p w14:paraId="1C365AB5">
      <w:pPr>
        <w:overflowPunct w:val="0"/>
        <w:jc w:val="center"/>
        <w:rPr>
          <w:rFonts w:ascii="宋体" w:hAnsi="宋体" w:eastAsia="宋体" w:cs="宋体"/>
          <w:color w:val="auto"/>
          <w:sz w:val="28"/>
          <w:szCs w:val="28"/>
          <w:highlight w:val="none"/>
        </w:rPr>
      </w:pPr>
      <w:r>
        <w:rPr>
          <w:rFonts w:hint="eastAsia" w:ascii="宋体" w:hAnsi="宋体" w:eastAsia="宋体" w:cs="宋体"/>
          <w:color w:val="auto"/>
          <w:sz w:val="24"/>
          <w:szCs w:val="28"/>
          <w:highlight w:val="none"/>
        </w:rPr>
        <w:t>法定代表人或其委托代理人：（签字</w:t>
      </w:r>
      <w:r>
        <w:rPr>
          <w:rFonts w:hint="eastAsia" w:ascii="宋体" w:hAnsi="宋体" w:eastAsia="宋体" w:cs="宋体"/>
          <w:color w:val="auto"/>
          <w:kern w:val="0"/>
          <w:sz w:val="24"/>
          <w:szCs w:val="28"/>
          <w:highlight w:val="none"/>
        </w:rPr>
        <w:t>或盖章</w:t>
      </w:r>
      <w:r>
        <w:rPr>
          <w:rFonts w:hint="eastAsia" w:ascii="宋体" w:hAnsi="宋体" w:eastAsia="宋体" w:cs="宋体"/>
          <w:color w:val="auto"/>
          <w:sz w:val="24"/>
          <w:szCs w:val="28"/>
          <w:highlight w:val="none"/>
        </w:rPr>
        <w:t>）</w:t>
      </w:r>
    </w:p>
    <w:p w14:paraId="1628D172">
      <w:pPr>
        <w:overflowPunct w:val="0"/>
        <w:ind w:firstLine="2640" w:firstLineChars="1100"/>
        <w:jc w:val="center"/>
        <w:rPr>
          <w:rFonts w:ascii="宋体" w:hAnsi="宋体" w:eastAsia="宋体" w:cs="宋体"/>
          <w:color w:val="auto"/>
          <w:sz w:val="36"/>
          <w:szCs w:val="36"/>
          <w:highlight w:val="none"/>
        </w:rPr>
      </w:pPr>
      <w:r>
        <w:rPr>
          <w:rFonts w:hint="eastAsia" w:ascii="宋体" w:hAnsi="宋体" w:eastAsia="宋体" w:cs="宋体"/>
          <w:color w:val="auto"/>
          <w:sz w:val="24"/>
          <w:szCs w:val="28"/>
          <w:highlight w:val="none"/>
        </w:rPr>
        <w:t>日期：年月日</w:t>
      </w:r>
      <w:r>
        <w:rPr>
          <w:rFonts w:hint="eastAsia" w:ascii="宋体" w:hAnsi="宋体" w:eastAsia="宋体" w:cs="宋体"/>
          <w:color w:val="auto"/>
          <w:sz w:val="18"/>
          <w:szCs w:val="18"/>
          <w:highlight w:val="none"/>
        </w:rPr>
        <w:br w:type="page"/>
      </w:r>
      <w:r>
        <w:rPr>
          <w:rFonts w:hint="eastAsia" w:ascii="宋体" w:hAnsi="宋体" w:eastAsia="宋体" w:cs="宋体"/>
          <w:color w:val="auto"/>
          <w:sz w:val="36"/>
          <w:szCs w:val="36"/>
          <w:highlight w:val="none"/>
        </w:rPr>
        <w:t>目录</w:t>
      </w:r>
    </w:p>
    <w:p w14:paraId="1AB4764F">
      <w:pPr>
        <w:spacing w:line="420" w:lineRule="exact"/>
        <w:jc w:val="center"/>
        <w:rPr>
          <w:rFonts w:ascii="宋体" w:hAnsi="宋体" w:eastAsia="宋体" w:cs="宋体"/>
          <w:color w:val="auto"/>
          <w:sz w:val="24"/>
          <w:highlight w:val="none"/>
        </w:rPr>
      </w:pPr>
    </w:p>
    <w:p w14:paraId="1B171B76">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（1）投标函</w:t>
      </w:r>
    </w:p>
    <w:p w14:paraId="2ABFD89B">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（2）投标承诺汇总表及分项报价表</w:t>
      </w:r>
    </w:p>
    <w:p w14:paraId="2BAE85AC">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（3）货物/服务说明</w:t>
      </w:r>
    </w:p>
    <w:p w14:paraId="51EEA68F">
      <w:pPr>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（4）商务技术响应/偏离表</w:t>
      </w:r>
    </w:p>
    <w:p w14:paraId="683EDDAE">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（5）法定代表人身份证明及授权委托书</w:t>
      </w:r>
    </w:p>
    <w:p w14:paraId="4ACF8FD2">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（6）投标人基本情况表及资格审查资料</w:t>
      </w:r>
    </w:p>
    <w:p w14:paraId="130B72F0">
      <w:pPr>
        <w:spacing w:line="520" w:lineRule="exact"/>
        <w:ind w:left="480"/>
        <w:rPr>
          <w:rFonts w:ascii="宋体" w:hAnsi="宋体" w:eastAsia="宋体" w:cs="宋体"/>
          <w:color w:val="auto"/>
          <w:sz w:val="24"/>
          <w:highlight w:val="none"/>
        </w:rPr>
      </w:pPr>
      <w:r>
        <w:rPr>
          <w:rFonts w:hint="eastAsia" w:ascii="宋体" w:hAnsi="宋体" w:eastAsia="宋体" w:cs="宋体"/>
          <w:color w:val="auto"/>
          <w:sz w:val="24"/>
          <w:highlight w:val="none"/>
        </w:rPr>
        <w:t>（7）投标人认为需要提供的其它资料</w:t>
      </w:r>
    </w:p>
    <w:p w14:paraId="3AF0108B">
      <w:pPr>
        <w:spacing w:line="420" w:lineRule="exact"/>
        <w:ind w:firstLine="480"/>
        <w:rPr>
          <w:rFonts w:ascii="宋体" w:hAnsi="宋体" w:eastAsia="宋体" w:cs="宋体"/>
          <w:color w:val="auto"/>
          <w:sz w:val="24"/>
          <w:highlight w:val="none"/>
        </w:rPr>
      </w:pPr>
    </w:p>
    <w:p w14:paraId="2A564D1B">
      <w:pPr>
        <w:spacing w:line="420" w:lineRule="exact"/>
        <w:jc w:val="center"/>
        <w:rPr>
          <w:rFonts w:ascii="宋体" w:hAnsi="宋体" w:eastAsia="宋体" w:cs="宋体"/>
          <w:color w:val="auto"/>
          <w:sz w:val="24"/>
          <w:highlight w:val="none"/>
        </w:rPr>
      </w:pPr>
    </w:p>
    <w:p w14:paraId="01FE5908">
      <w:pPr>
        <w:spacing w:line="420" w:lineRule="exact"/>
        <w:jc w:val="center"/>
        <w:rPr>
          <w:rFonts w:ascii="宋体" w:hAnsi="宋体" w:eastAsia="宋体" w:cs="宋体"/>
          <w:color w:val="auto"/>
          <w:sz w:val="24"/>
          <w:highlight w:val="none"/>
        </w:rPr>
      </w:pPr>
    </w:p>
    <w:p w14:paraId="5696124F">
      <w:pPr>
        <w:spacing w:line="420" w:lineRule="exact"/>
        <w:jc w:val="center"/>
        <w:rPr>
          <w:rFonts w:ascii="宋体" w:hAnsi="宋体" w:eastAsia="宋体" w:cs="宋体"/>
          <w:color w:val="auto"/>
          <w:sz w:val="24"/>
          <w:highlight w:val="none"/>
        </w:rPr>
      </w:pPr>
    </w:p>
    <w:p w14:paraId="223C1B6C">
      <w:pPr>
        <w:spacing w:line="420" w:lineRule="exact"/>
        <w:jc w:val="center"/>
        <w:rPr>
          <w:rFonts w:ascii="宋体" w:hAnsi="宋体" w:eastAsia="宋体" w:cs="宋体"/>
          <w:color w:val="auto"/>
          <w:sz w:val="24"/>
          <w:highlight w:val="none"/>
        </w:rPr>
      </w:pPr>
    </w:p>
    <w:p w14:paraId="680EE0C4">
      <w:pPr>
        <w:spacing w:line="420" w:lineRule="exact"/>
        <w:jc w:val="center"/>
        <w:rPr>
          <w:rFonts w:ascii="宋体" w:hAnsi="宋体" w:eastAsia="宋体" w:cs="宋体"/>
          <w:color w:val="auto"/>
          <w:sz w:val="24"/>
          <w:highlight w:val="none"/>
        </w:rPr>
      </w:pPr>
    </w:p>
    <w:p w14:paraId="0CA6E763">
      <w:pPr>
        <w:spacing w:line="420" w:lineRule="exact"/>
        <w:jc w:val="center"/>
        <w:rPr>
          <w:rFonts w:ascii="宋体" w:hAnsi="宋体" w:eastAsia="宋体" w:cs="宋体"/>
          <w:color w:val="auto"/>
          <w:sz w:val="24"/>
          <w:highlight w:val="none"/>
        </w:rPr>
      </w:pPr>
    </w:p>
    <w:p w14:paraId="2D045F0C">
      <w:pPr>
        <w:spacing w:line="420" w:lineRule="exact"/>
        <w:jc w:val="center"/>
        <w:rPr>
          <w:rFonts w:ascii="宋体" w:hAnsi="宋体" w:eastAsia="宋体" w:cs="宋体"/>
          <w:color w:val="auto"/>
          <w:sz w:val="24"/>
          <w:highlight w:val="none"/>
        </w:rPr>
      </w:pPr>
    </w:p>
    <w:p w14:paraId="2DACD644">
      <w:pPr>
        <w:spacing w:line="420" w:lineRule="exact"/>
        <w:jc w:val="center"/>
        <w:rPr>
          <w:rFonts w:ascii="宋体" w:hAnsi="宋体" w:eastAsia="宋体" w:cs="宋体"/>
          <w:color w:val="auto"/>
          <w:sz w:val="24"/>
          <w:highlight w:val="none"/>
        </w:rPr>
      </w:pPr>
    </w:p>
    <w:p w14:paraId="0D3E897B">
      <w:pPr>
        <w:spacing w:line="420" w:lineRule="exact"/>
        <w:jc w:val="center"/>
        <w:rPr>
          <w:rFonts w:ascii="宋体" w:hAnsi="宋体" w:eastAsia="宋体" w:cs="宋体"/>
          <w:color w:val="auto"/>
          <w:sz w:val="24"/>
          <w:highlight w:val="none"/>
        </w:rPr>
      </w:pPr>
    </w:p>
    <w:p w14:paraId="088AEC21">
      <w:pPr>
        <w:spacing w:line="420" w:lineRule="exact"/>
        <w:jc w:val="center"/>
        <w:rPr>
          <w:rFonts w:ascii="宋体" w:hAnsi="宋体" w:eastAsia="宋体" w:cs="宋体"/>
          <w:color w:val="auto"/>
          <w:sz w:val="24"/>
          <w:highlight w:val="none"/>
        </w:rPr>
      </w:pPr>
    </w:p>
    <w:p w14:paraId="7195CF67">
      <w:pPr>
        <w:spacing w:line="420" w:lineRule="exact"/>
        <w:jc w:val="center"/>
        <w:rPr>
          <w:rFonts w:ascii="宋体" w:hAnsi="宋体" w:eastAsia="宋体" w:cs="宋体"/>
          <w:color w:val="auto"/>
          <w:sz w:val="24"/>
          <w:highlight w:val="none"/>
        </w:rPr>
      </w:pPr>
    </w:p>
    <w:p w14:paraId="1BDBBCA5">
      <w:pPr>
        <w:spacing w:line="420" w:lineRule="exact"/>
        <w:jc w:val="center"/>
        <w:rPr>
          <w:rFonts w:ascii="宋体" w:hAnsi="宋体" w:eastAsia="宋体" w:cs="宋体"/>
          <w:color w:val="auto"/>
          <w:sz w:val="24"/>
          <w:highlight w:val="none"/>
        </w:rPr>
      </w:pPr>
    </w:p>
    <w:p w14:paraId="57D683F1">
      <w:pPr>
        <w:spacing w:line="420" w:lineRule="exact"/>
        <w:jc w:val="center"/>
        <w:rPr>
          <w:rFonts w:ascii="宋体" w:hAnsi="宋体" w:eastAsia="宋体" w:cs="宋体"/>
          <w:color w:val="auto"/>
          <w:sz w:val="24"/>
          <w:highlight w:val="none"/>
        </w:rPr>
      </w:pPr>
    </w:p>
    <w:p w14:paraId="36A3A8FA">
      <w:pPr>
        <w:spacing w:line="420" w:lineRule="exact"/>
        <w:jc w:val="center"/>
        <w:rPr>
          <w:rFonts w:ascii="宋体" w:hAnsi="宋体" w:eastAsia="宋体" w:cs="宋体"/>
          <w:color w:val="auto"/>
          <w:sz w:val="24"/>
          <w:highlight w:val="none"/>
        </w:rPr>
      </w:pPr>
    </w:p>
    <w:p w14:paraId="7D3569A2">
      <w:pPr>
        <w:spacing w:line="420" w:lineRule="exact"/>
        <w:jc w:val="center"/>
        <w:rPr>
          <w:rFonts w:ascii="宋体" w:hAnsi="宋体" w:eastAsia="宋体" w:cs="宋体"/>
          <w:color w:val="auto"/>
          <w:sz w:val="24"/>
          <w:highlight w:val="none"/>
        </w:rPr>
      </w:pPr>
    </w:p>
    <w:p w14:paraId="04F4E2A3">
      <w:pPr>
        <w:spacing w:line="420" w:lineRule="exact"/>
        <w:jc w:val="center"/>
        <w:rPr>
          <w:rFonts w:ascii="宋体" w:hAnsi="宋体" w:eastAsia="宋体" w:cs="宋体"/>
          <w:color w:val="auto"/>
          <w:sz w:val="24"/>
          <w:highlight w:val="none"/>
        </w:rPr>
      </w:pPr>
    </w:p>
    <w:p w14:paraId="0107A195">
      <w:pPr>
        <w:spacing w:line="420" w:lineRule="exact"/>
        <w:jc w:val="center"/>
        <w:rPr>
          <w:rFonts w:ascii="宋体" w:hAnsi="宋体" w:eastAsia="宋体" w:cs="宋体"/>
          <w:color w:val="auto"/>
          <w:sz w:val="24"/>
          <w:highlight w:val="none"/>
        </w:rPr>
      </w:pPr>
    </w:p>
    <w:p w14:paraId="5519AD52">
      <w:pPr>
        <w:spacing w:line="420" w:lineRule="exact"/>
        <w:jc w:val="center"/>
        <w:rPr>
          <w:rFonts w:ascii="宋体" w:hAnsi="宋体" w:eastAsia="宋体" w:cs="宋体"/>
          <w:color w:val="auto"/>
          <w:sz w:val="24"/>
          <w:highlight w:val="none"/>
        </w:rPr>
      </w:pPr>
    </w:p>
    <w:p w14:paraId="3C5073C3">
      <w:pPr>
        <w:spacing w:line="420" w:lineRule="exact"/>
        <w:jc w:val="center"/>
        <w:rPr>
          <w:rFonts w:ascii="宋体" w:hAnsi="宋体" w:eastAsia="宋体" w:cs="宋体"/>
          <w:color w:val="auto"/>
          <w:sz w:val="24"/>
          <w:highlight w:val="none"/>
        </w:rPr>
      </w:pPr>
    </w:p>
    <w:p w14:paraId="377156DD">
      <w:pPr>
        <w:spacing w:line="420" w:lineRule="exact"/>
        <w:jc w:val="center"/>
        <w:rPr>
          <w:rFonts w:ascii="宋体" w:hAnsi="宋体" w:eastAsia="宋体" w:cs="宋体"/>
          <w:color w:val="auto"/>
          <w:sz w:val="24"/>
          <w:highlight w:val="none"/>
        </w:rPr>
      </w:pPr>
    </w:p>
    <w:p w14:paraId="038847F1">
      <w:pPr>
        <w:numPr>
          <w:ilvl w:val="0"/>
          <w:numId w:val="3"/>
        </w:numPr>
        <w:spacing w:line="420" w:lineRule="exact"/>
        <w:jc w:val="center"/>
        <w:rPr>
          <w:rFonts w:ascii="宋体" w:hAnsi="宋体" w:eastAsia="宋体" w:cs="宋体"/>
          <w:b/>
          <w:color w:val="auto"/>
          <w:sz w:val="36"/>
          <w:szCs w:val="36"/>
          <w:highlight w:val="none"/>
        </w:rPr>
      </w:pPr>
      <w:r>
        <w:rPr>
          <w:rFonts w:hint="eastAsia" w:ascii="宋体" w:hAnsi="宋体" w:eastAsia="宋体" w:cs="宋体"/>
          <w:b/>
          <w:color w:val="auto"/>
          <w:sz w:val="36"/>
          <w:szCs w:val="36"/>
          <w:highlight w:val="none"/>
        </w:rPr>
        <w:t>投标函</w:t>
      </w:r>
    </w:p>
    <w:p w14:paraId="061786C1">
      <w:pPr>
        <w:wordWrap w:val="0"/>
        <w:adjustRightInd w:val="0"/>
        <w:snapToGrid w:val="0"/>
        <w:spacing w:line="520" w:lineRule="exact"/>
        <w:rPr>
          <w:rFonts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(采购代理机构</w:t>
      </w:r>
      <w:r>
        <w:rPr>
          <w:rFonts w:hint="eastAsia" w:ascii="宋体" w:hAnsi="宋体" w:eastAsia="宋体" w:cs="宋体"/>
          <w:color w:val="auto"/>
          <w:sz w:val="24"/>
          <w:highlight w:val="none"/>
        </w:rPr>
        <w:t>)：</w:t>
      </w:r>
    </w:p>
    <w:p w14:paraId="1823A695">
      <w:pPr>
        <w:wordWrap w:val="0"/>
        <w:adjustRightInd w:val="0"/>
        <w:snapToGrid w:val="0"/>
        <w:spacing w:line="520" w:lineRule="exact"/>
        <w:ind w:firstLine="435"/>
        <w:rPr>
          <w:rFonts w:ascii="宋体" w:hAnsi="宋体" w:eastAsia="宋体" w:cs="宋体"/>
          <w:color w:val="auto"/>
          <w:sz w:val="24"/>
          <w:highlight w:val="none"/>
        </w:rPr>
      </w:pPr>
      <w:r>
        <w:rPr>
          <w:rFonts w:hint="eastAsia" w:ascii="宋体" w:hAnsi="宋体" w:eastAsia="宋体" w:cs="宋体"/>
          <w:color w:val="auto"/>
          <w:sz w:val="24"/>
          <w:highlight w:val="none"/>
        </w:rPr>
        <w:t>根据贵方为</w:t>
      </w:r>
      <w:r>
        <w:rPr>
          <w:rFonts w:hint="eastAsia" w:ascii="宋体" w:hAnsi="宋体" w:eastAsia="宋体" w:cs="宋体"/>
          <w:color w:val="auto"/>
          <w:sz w:val="24"/>
          <w:highlight w:val="none"/>
          <w:u w:val="single"/>
        </w:rPr>
        <w:t xml:space="preserve">             （项目名称）</w:t>
      </w:r>
      <w:r>
        <w:rPr>
          <w:rFonts w:hint="eastAsia" w:ascii="宋体" w:hAnsi="宋体" w:eastAsia="宋体" w:cs="宋体"/>
          <w:color w:val="auto"/>
          <w:sz w:val="24"/>
          <w:highlight w:val="none"/>
        </w:rPr>
        <w:t xml:space="preserve">的投标邀请，签字代表 </w:t>
      </w:r>
      <w:r>
        <w:rPr>
          <w:rFonts w:hint="eastAsia" w:ascii="宋体" w:hAnsi="宋体" w:eastAsia="宋体" w:cs="宋体"/>
          <w:color w:val="auto"/>
          <w:sz w:val="24"/>
          <w:highlight w:val="none"/>
          <w:u w:val="single"/>
        </w:rPr>
        <w:t xml:space="preserve">        （姓名、职务）</w:t>
      </w:r>
      <w:r>
        <w:rPr>
          <w:rFonts w:hint="eastAsia" w:ascii="宋体" w:hAnsi="宋体" w:eastAsia="宋体" w:cs="宋体"/>
          <w:color w:val="auto"/>
          <w:sz w:val="24"/>
          <w:highlight w:val="none"/>
        </w:rPr>
        <w:t>经正式授权并代表投标人</w:t>
      </w:r>
      <w:r>
        <w:rPr>
          <w:rFonts w:hint="eastAsia" w:ascii="宋体" w:hAnsi="宋体" w:eastAsia="宋体" w:cs="宋体"/>
          <w:color w:val="auto"/>
          <w:sz w:val="24"/>
          <w:highlight w:val="none"/>
          <w:u w:val="single"/>
        </w:rPr>
        <w:t xml:space="preserve">        （投标人名称、地址）</w:t>
      </w:r>
      <w:r>
        <w:rPr>
          <w:rFonts w:hint="eastAsia" w:ascii="宋体" w:hAnsi="宋体" w:eastAsia="宋体" w:cs="宋体"/>
          <w:color w:val="auto"/>
          <w:sz w:val="24"/>
          <w:highlight w:val="none"/>
        </w:rPr>
        <w:t>提交下述文件正本一份、副本二份，并在此声明，所递交的响应文件内容完整、真实。</w:t>
      </w:r>
    </w:p>
    <w:p w14:paraId="2C5BA9F6">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在此，签字代表宣布同意如下：</w:t>
      </w:r>
    </w:p>
    <w:p w14:paraId="0A316749">
      <w:pPr>
        <w:numPr>
          <w:ilvl w:val="0"/>
          <w:numId w:val="4"/>
        </w:numPr>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所附投标价格表中规定的应提交和交付的货物、工程和服务投标总价为：小写：；大写。项目负责人：，联系电话：。</w:t>
      </w:r>
    </w:p>
    <w:p w14:paraId="0061BE8C">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2、投标人将按招标文件的规定履行合同责任和义务。</w:t>
      </w:r>
    </w:p>
    <w:p w14:paraId="599E9DFC">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3、投标人已详细审查全部招标文件。我们完全理解并同意放弃对这方面有不明及误解的权力。</w:t>
      </w:r>
    </w:p>
    <w:p w14:paraId="437B21DF">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4、本投标有效期为自招标文件规定的提交响应文件截止之日起 60 个日历日。在投标有效期内我方同意遵守本响应文件中的承诺且在此期限期满之前响应文件对我方具有法律约束力。</w:t>
      </w:r>
    </w:p>
    <w:p w14:paraId="04947E8B">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5、根据第一章“投标须知”第3条规定，我方承诺：</w:t>
      </w:r>
    </w:p>
    <w:p w14:paraId="2A27B507">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 我们在参加本项目政府采购活动前三年内，在经营活动中没有违背法律的行为，并提供“参加政府采购活动前三年内在经营活动中没有重大违法记录的书面声明”；</w:t>
      </w:r>
    </w:p>
    <w:p w14:paraId="1BD11892">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 我们依照有关法律的规定，没有偷税、漏税的行为，没有逃避缴纳社会保险资金的行为；</w:t>
      </w:r>
    </w:p>
    <w:p w14:paraId="7BAFB663">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 与招标人和采购代理机构</w:t>
      </w:r>
      <w:r>
        <w:rPr>
          <w:rFonts w:hint="eastAsia" w:ascii="宋体" w:hAnsi="宋体" w:eastAsia="宋体" w:cs="宋体"/>
          <w:bCs/>
          <w:color w:val="auto"/>
          <w:sz w:val="24"/>
          <w:highlight w:val="none"/>
        </w:rPr>
        <w:t>无任何的隶属关系或者其他利害关系</w:t>
      </w:r>
      <w:r>
        <w:rPr>
          <w:rFonts w:hint="eastAsia" w:ascii="宋体" w:hAnsi="宋体" w:eastAsia="宋体" w:cs="宋体"/>
          <w:color w:val="auto"/>
          <w:sz w:val="24"/>
          <w:highlight w:val="none"/>
        </w:rPr>
        <w:t>。</w:t>
      </w:r>
    </w:p>
    <w:p w14:paraId="107209B7">
      <w:pPr>
        <w:wordWrap w:val="0"/>
        <w:adjustRightInd w:val="0"/>
        <w:snapToGrid w:val="0"/>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 我公司与其他投标人（包括但不限于参与本项目的所有投标单位）不存在直接或间接的控股、管理关系，不存在隶属关系或同一实际控制人关系。</w:t>
      </w:r>
    </w:p>
    <w:p w14:paraId="55C9E4E9">
      <w:pPr>
        <w:wordWrap w:val="0"/>
        <w:adjustRightInd w:val="0"/>
        <w:snapToGrid w:val="0"/>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 我公司未与其他投标人相互串通投标，未达成任何形式的协议或默契（如围标、陪标等），也未委托同一单位或个人办理投标事宜。</w:t>
      </w:r>
    </w:p>
    <w:p w14:paraId="0E0CFBF3">
      <w:pPr>
        <w:wordWrap w:val="0"/>
        <w:adjustRightInd w:val="0"/>
        <w:snapToGrid w:val="0"/>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)我公司投标文件由我公司独立编制，未与其他投标人共享商业秘密或技术方案。</w:t>
      </w:r>
    </w:p>
    <w:p w14:paraId="04DC8351">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 xml:space="preserve">6、同意提供贵方可能要求的与其投标有关的一切数据或资料。 </w:t>
      </w:r>
    </w:p>
    <w:p w14:paraId="5E11C077">
      <w:pPr>
        <w:wordWrap w:val="0"/>
        <w:adjustRightInd w:val="0"/>
        <w:snapToGrid w:val="0"/>
        <w:spacing w:line="52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7、与本投标有关的一切正式往来信函请寄：</w:t>
      </w:r>
    </w:p>
    <w:p w14:paraId="485C5335">
      <w:pPr>
        <w:wordWrap w:val="0"/>
        <w:adjustRightInd w:val="0"/>
        <w:snapToGrid w:val="0"/>
        <w:spacing w:line="5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地址：                      </w:t>
      </w:r>
    </w:p>
    <w:p w14:paraId="2C342A86">
      <w:pPr>
        <w:wordWrap w:val="0"/>
        <w:adjustRightInd w:val="0"/>
        <w:snapToGrid w:val="0"/>
        <w:spacing w:line="5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7522024E">
      <w:pPr>
        <w:wordWrap w:val="0"/>
        <w:adjustRightInd w:val="0"/>
        <w:snapToGrid w:val="0"/>
        <w:spacing w:line="520" w:lineRule="exact"/>
        <w:rPr>
          <w:rFonts w:ascii="宋体" w:hAnsi="宋体" w:eastAsia="宋体" w:cs="宋体"/>
          <w:color w:val="auto"/>
          <w:sz w:val="24"/>
          <w:highlight w:val="none"/>
        </w:rPr>
      </w:pPr>
    </w:p>
    <w:p w14:paraId="7473DFD3">
      <w:pPr>
        <w:wordWrap w:val="0"/>
        <w:adjustRightInd w:val="0"/>
        <w:snapToGrid w:val="0"/>
        <w:spacing w:line="520" w:lineRule="exact"/>
        <w:rPr>
          <w:rFonts w:ascii="宋体" w:hAnsi="宋体" w:eastAsia="宋体" w:cs="宋体"/>
          <w:color w:val="auto"/>
          <w:sz w:val="24"/>
          <w:highlight w:val="none"/>
        </w:rPr>
      </w:pPr>
      <w:r>
        <w:rPr>
          <w:rFonts w:hint="eastAsia" w:ascii="宋体" w:hAnsi="宋体" w:eastAsia="宋体" w:cs="宋体"/>
          <w:color w:val="auto"/>
          <w:sz w:val="24"/>
          <w:highlight w:val="none"/>
        </w:rPr>
        <w:t>投标人名称(盖章)：</w:t>
      </w:r>
    </w:p>
    <w:p w14:paraId="206A65F1">
      <w:pPr>
        <w:wordWrap w:val="0"/>
        <w:adjustRightInd w:val="0"/>
        <w:snapToGrid w:val="0"/>
        <w:spacing w:line="5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法定代表人或其授权的代理人(签字或盖章)：               </w:t>
      </w:r>
    </w:p>
    <w:p w14:paraId="2B3BF9B5">
      <w:pPr>
        <w:wordWrap w:val="0"/>
        <w:adjustRightInd w:val="0"/>
        <w:snapToGrid w:val="0"/>
        <w:spacing w:line="520" w:lineRule="exact"/>
        <w:rPr>
          <w:rFonts w:ascii="宋体" w:hAnsi="宋体" w:eastAsia="宋体" w:cs="宋体"/>
          <w:color w:val="auto"/>
          <w:sz w:val="24"/>
          <w:highlight w:val="none"/>
        </w:rPr>
      </w:pPr>
      <w:r>
        <w:rPr>
          <w:rFonts w:hint="eastAsia" w:ascii="宋体" w:hAnsi="宋体" w:eastAsia="宋体" w:cs="宋体"/>
          <w:color w:val="auto"/>
          <w:sz w:val="24"/>
          <w:highlight w:val="none"/>
        </w:rPr>
        <w:t>日期： 年      月     日</w:t>
      </w:r>
    </w:p>
    <w:p w14:paraId="0D9BB539">
      <w:pPr>
        <w:wordWrap w:val="0"/>
        <w:adjustRightInd w:val="0"/>
        <w:snapToGrid w:val="0"/>
        <w:spacing w:line="520" w:lineRule="exact"/>
        <w:rPr>
          <w:rFonts w:ascii="宋体" w:hAnsi="宋体" w:eastAsia="宋体" w:cs="宋体"/>
          <w:color w:val="auto"/>
          <w:sz w:val="24"/>
          <w:highlight w:val="none"/>
        </w:rPr>
      </w:pPr>
    </w:p>
    <w:p w14:paraId="6E49E11C">
      <w:pPr>
        <w:wordWrap w:val="0"/>
        <w:adjustRightInd w:val="0"/>
        <w:snapToGrid w:val="0"/>
        <w:spacing w:line="520" w:lineRule="exact"/>
        <w:ind w:left="-88" w:leftChars="-42"/>
        <w:rPr>
          <w:rFonts w:ascii="宋体" w:hAnsi="宋体" w:eastAsia="宋体" w:cs="宋体"/>
          <w:color w:val="auto"/>
          <w:sz w:val="24"/>
          <w:highlight w:val="none"/>
        </w:rPr>
      </w:pPr>
      <w:r>
        <w:rPr>
          <w:rFonts w:hint="eastAsia" w:ascii="宋体" w:hAnsi="宋体" w:eastAsia="宋体" w:cs="宋体"/>
          <w:b/>
          <w:color w:val="auto"/>
          <w:sz w:val="24"/>
          <w:highlight w:val="none"/>
        </w:rPr>
        <w:t>备注</w:t>
      </w:r>
      <w:r>
        <w:rPr>
          <w:rFonts w:hint="eastAsia" w:ascii="宋体" w:hAnsi="宋体" w:eastAsia="宋体" w:cs="宋体"/>
          <w:color w:val="auto"/>
          <w:sz w:val="24"/>
          <w:highlight w:val="none"/>
        </w:rPr>
        <w:t>：1、除可填报项目外，对本投标函的任何修改将被视为非实质性响应投标，在评标时将其视为无效投标。</w:t>
      </w:r>
    </w:p>
    <w:p w14:paraId="5E5BAFDD">
      <w:pPr>
        <w:widowControl/>
        <w:wordWrap w:val="0"/>
        <w:spacing w:line="520" w:lineRule="exact"/>
        <w:ind w:left="-88" w:leftChars="-42" w:firstLine="720" w:firstLineChars="300"/>
        <w:jc w:val="left"/>
        <w:rPr>
          <w:rFonts w:ascii="宋体" w:hAnsi="宋体" w:eastAsia="宋体" w:cs="宋体"/>
          <w:color w:val="auto"/>
          <w:sz w:val="24"/>
          <w:highlight w:val="none"/>
        </w:rPr>
      </w:pPr>
      <w:r>
        <w:rPr>
          <w:rFonts w:hint="eastAsia" w:ascii="宋体" w:hAnsi="宋体" w:eastAsia="宋体" w:cs="宋体"/>
          <w:color w:val="auto"/>
          <w:sz w:val="24"/>
          <w:highlight w:val="none"/>
        </w:rPr>
        <w:t>2、投标人注册成立不足三年的，承诺与声明从单位成立始至参加本项目采购活动止(后同)。</w:t>
      </w:r>
    </w:p>
    <w:p w14:paraId="028EF22E">
      <w:pPr>
        <w:widowControl/>
        <w:wordWrap w:val="0"/>
        <w:spacing w:line="520" w:lineRule="exact"/>
        <w:jc w:val="left"/>
        <w:rPr>
          <w:rFonts w:ascii="宋体" w:hAnsi="宋体" w:eastAsia="宋体" w:cs="宋体"/>
          <w:color w:val="auto"/>
          <w:sz w:val="24"/>
          <w:highlight w:val="none"/>
        </w:rPr>
        <w:sectPr>
          <w:pgSz w:w="11905" w:h="16838"/>
          <w:pgMar w:top="1531" w:right="1531" w:bottom="1531" w:left="1531" w:header="850" w:footer="992" w:gutter="0"/>
          <w:cols w:space="0" w:num="1"/>
          <w:docGrid w:type="lines" w:linePitch="315" w:charSpace="0"/>
        </w:sectPr>
      </w:pPr>
    </w:p>
    <w:p w14:paraId="40645D49">
      <w:pPr>
        <w:spacing w:line="420" w:lineRule="exact"/>
        <w:jc w:val="center"/>
        <w:rPr>
          <w:rFonts w:ascii="宋体" w:hAnsi="宋体" w:eastAsia="宋体" w:cs="宋体"/>
          <w:b/>
          <w:color w:val="auto"/>
          <w:sz w:val="36"/>
          <w:szCs w:val="36"/>
          <w:highlight w:val="none"/>
        </w:rPr>
      </w:pPr>
      <w:r>
        <w:rPr>
          <w:rFonts w:hint="eastAsia" w:ascii="宋体" w:hAnsi="宋体" w:eastAsia="宋体" w:cs="宋体"/>
          <w:b/>
          <w:color w:val="auto"/>
          <w:sz w:val="36"/>
          <w:szCs w:val="36"/>
          <w:highlight w:val="none"/>
        </w:rPr>
        <w:t>二、投标承诺汇总表</w:t>
      </w:r>
    </w:p>
    <w:tbl>
      <w:tblPr>
        <w:tblStyle w:val="8"/>
        <w:tblpPr w:leftFromText="180" w:rightFromText="180" w:vertAnchor="text" w:horzAnchor="margin" w:tblpXSpec="center" w:tblpY="394"/>
        <w:tblW w:w="8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7348"/>
      </w:tblGrid>
      <w:tr w14:paraId="08888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1631" w:type="dxa"/>
            <w:vAlign w:val="center"/>
          </w:tcPr>
          <w:p w14:paraId="178B8333">
            <w:pPr>
              <w:spacing w:line="440" w:lineRule="exact"/>
              <w:ind w:right="53" w:rightChars="25"/>
              <w:jc w:val="center"/>
              <w:rPr>
                <w:rFonts w:ascii="宋体" w:hAnsi="宋体" w:eastAsia="宋体" w:cs="宋体"/>
                <w:color w:val="auto"/>
                <w:sz w:val="24"/>
                <w:highlight w:val="none"/>
              </w:rPr>
            </w:pPr>
            <w:r>
              <w:rPr>
                <w:rFonts w:hint="eastAsia" w:ascii="宋体" w:hAnsi="宋体" w:eastAsia="宋体" w:cs="宋体"/>
                <w:color w:val="auto"/>
                <w:sz w:val="24"/>
                <w:highlight w:val="none"/>
              </w:rPr>
              <w:t>投标人名称</w:t>
            </w:r>
          </w:p>
        </w:tc>
        <w:tc>
          <w:tcPr>
            <w:tcW w:w="7348" w:type="dxa"/>
            <w:vAlign w:val="center"/>
          </w:tcPr>
          <w:p w14:paraId="5598BE7C">
            <w:pPr>
              <w:spacing w:line="700" w:lineRule="exact"/>
              <w:jc w:val="center"/>
              <w:rPr>
                <w:rFonts w:ascii="宋体" w:hAnsi="宋体" w:eastAsia="宋体" w:cs="宋体"/>
                <w:color w:val="auto"/>
                <w:sz w:val="24"/>
                <w:highlight w:val="none"/>
              </w:rPr>
            </w:pPr>
          </w:p>
        </w:tc>
      </w:tr>
      <w:tr w14:paraId="52D45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631" w:type="dxa"/>
            <w:vAlign w:val="center"/>
          </w:tcPr>
          <w:p w14:paraId="362DED35">
            <w:pPr>
              <w:spacing w:line="440" w:lineRule="exact"/>
              <w:ind w:right="53" w:rightChars="25"/>
              <w:jc w:val="center"/>
              <w:rPr>
                <w:rFonts w:ascii="宋体" w:hAnsi="宋体" w:eastAsia="宋体" w:cs="宋体"/>
                <w:color w:val="auto"/>
                <w:sz w:val="24"/>
                <w:highlight w:val="none"/>
              </w:rPr>
            </w:pPr>
            <w:r>
              <w:rPr>
                <w:rFonts w:hint="eastAsia" w:ascii="宋体" w:hAnsi="宋体" w:eastAsia="宋体" w:cs="宋体"/>
                <w:color w:val="auto"/>
                <w:sz w:val="24"/>
                <w:highlight w:val="none"/>
              </w:rPr>
              <w:t>项目名称</w:t>
            </w:r>
          </w:p>
        </w:tc>
        <w:tc>
          <w:tcPr>
            <w:tcW w:w="7348" w:type="dxa"/>
            <w:vAlign w:val="center"/>
          </w:tcPr>
          <w:p w14:paraId="3104AB5B">
            <w:pPr>
              <w:spacing w:line="500" w:lineRule="exact"/>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浏阳市2023年北正社区中医院等9个老旧小区配套基础设施改造项目（自来水公司宿舍东侧等三个停车场设备采购安装）（第二次）</w:t>
            </w:r>
          </w:p>
        </w:tc>
      </w:tr>
      <w:tr w14:paraId="16742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631" w:type="dxa"/>
            <w:vAlign w:val="center"/>
          </w:tcPr>
          <w:p w14:paraId="2D7DDB7D">
            <w:pPr>
              <w:spacing w:line="440" w:lineRule="exact"/>
              <w:ind w:right="53" w:rightChars="25"/>
              <w:jc w:val="center"/>
              <w:rPr>
                <w:rFonts w:ascii="宋体" w:hAnsi="宋体" w:eastAsia="宋体" w:cs="宋体"/>
                <w:color w:val="auto"/>
                <w:sz w:val="24"/>
                <w:highlight w:val="none"/>
              </w:rPr>
            </w:pPr>
            <w:r>
              <w:rPr>
                <w:rFonts w:hint="eastAsia" w:ascii="宋体" w:hAnsi="宋体" w:eastAsia="宋体" w:cs="宋体"/>
                <w:color w:val="auto"/>
                <w:sz w:val="24"/>
                <w:highlight w:val="none"/>
              </w:rPr>
              <w:t>项目负责人</w:t>
            </w:r>
          </w:p>
        </w:tc>
        <w:tc>
          <w:tcPr>
            <w:tcW w:w="7348" w:type="dxa"/>
            <w:vAlign w:val="center"/>
          </w:tcPr>
          <w:p w14:paraId="090FDFFF">
            <w:pPr>
              <w:spacing w:line="70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               姓名：</w:t>
            </w:r>
          </w:p>
        </w:tc>
      </w:tr>
      <w:tr w14:paraId="3AEC3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631" w:type="dxa"/>
            <w:vAlign w:val="center"/>
          </w:tcPr>
          <w:p w14:paraId="2D6EC312">
            <w:pPr>
              <w:spacing w:line="42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投标报价（元）</w:t>
            </w:r>
          </w:p>
        </w:tc>
        <w:tc>
          <w:tcPr>
            <w:tcW w:w="7348" w:type="dxa"/>
            <w:vAlign w:val="center"/>
          </w:tcPr>
          <w:p w14:paraId="49D17A08">
            <w:pPr>
              <w:spacing w:line="4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lang w:val="sq-AL"/>
              </w:rPr>
              <w:t>投标报价：</w:t>
            </w:r>
            <w:r>
              <w:rPr>
                <w:rFonts w:hint="eastAsia" w:ascii="宋体" w:hAnsi="宋体" w:eastAsia="宋体" w:cs="宋体"/>
                <w:color w:val="auto"/>
                <w:sz w:val="24"/>
                <w:highlight w:val="none"/>
              </w:rPr>
              <w:t>小写：              元</w:t>
            </w:r>
            <w:r>
              <w:rPr>
                <w:rFonts w:hint="eastAsia" w:ascii="宋体" w:hAnsi="宋体" w:eastAsia="宋体" w:cs="宋体"/>
                <w:color w:val="auto"/>
                <w:sz w:val="24"/>
                <w:highlight w:val="none"/>
                <w:lang w:val="sq-AL"/>
              </w:rPr>
              <w:t>（大写：）</w:t>
            </w:r>
          </w:p>
        </w:tc>
      </w:tr>
      <w:tr w14:paraId="5B2CF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1631" w:type="dxa"/>
            <w:vAlign w:val="center"/>
          </w:tcPr>
          <w:p w14:paraId="59DCF46C">
            <w:pPr>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交货与安装工期承诺</w:t>
            </w:r>
          </w:p>
        </w:tc>
        <w:tc>
          <w:tcPr>
            <w:tcW w:w="7348" w:type="dxa"/>
            <w:vAlign w:val="center"/>
          </w:tcPr>
          <w:p w14:paraId="4C56C42E">
            <w:pPr>
              <w:spacing w:line="4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合同签订后</w:t>
            </w:r>
            <w:r>
              <w:rPr>
                <w:rFonts w:hint="eastAsia" w:ascii="宋体" w:hAnsi="宋体" w:eastAsia="宋体" w:cs="宋体"/>
                <w:color w:val="auto"/>
                <w:sz w:val="24"/>
                <w:highlight w:val="none"/>
                <w:lang w:val="en-US" w:eastAsia="zh-CN"/>
              </w:rPr>
              <w:t>10</w:t>
            </w:r>
            <w:r>
              <w:rPr>
                <w:rFonts w:hint="eastAsia" w:ascii="宋体" w:hAnsi="宋体" w:eastAsia="宋体" w:cs="宋体"/>
                <w:color w:val="auto"/>
                <w:sz w:val="24"/>
                <w:highlight w:val="none"/>
              </w:rPr>
              <w:t>日历天内货到并完成安装调试，达到交付使用标准。</w:t>
            </w:r>
          </w:p>
        </w:tc>
      </w:tr>
      <w:tr w14:paraId="7FD15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631" w:type="dxa"/>
            <w:vAlign w:val="center"/>
          </w:tcPr>
          <w:p w14:paraId="47FD4C46">
            <w:pPr>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质量要求承诺</w:t>
            </w:r>
          </w:p>
        </w:tc>
        <w:tc>
          <w:tcPr>
            <w:tcW w:w="7348" w:type="dxa"/>
            <w:vAlign w:val="center"/>
          </w:tcPr>
          <w:p w14:paraId="48B33FB2">
            <w:pPr>
              <w:spacing w:line="4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合格</w:t>
            </w:r>
          </w:p>
        </w:tc>
      </w:tr>
      <w:tr w14:paraId="06BEB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631" w:type="dxa"/>
            <w:vAlign w:val="center"/>
          </w:tcPr>
          <w:p w14:paraId="7E75B70E">
            <w:pPr>
              <w:spacing w:line="4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质保期</w:t>
            </w:r>
          </w:p>
        </w:tc>
        <w:tc>
          <w:tcPr>
            <w:tcW w:w="7348" w:type="dxa"/>
            <w:vAlign w:val="center"/>
          </w:tcPr>
          <w:p w14:paraId="08A1DDF2">
            <w:pPr>
              <w:spacing w:line="400" w:lineRule="exact"/>
              <w:jc w:val="center"/>
              <w:rPr>
                <w:rFonts w:ascii="宋体" w:hAnsi="宋体" w:eastAsia="宋体" w:cs="宋体"/>
                <w:color w:val="auto"/>
                <w:sz w:val="24"/>
                <w:highlight w:val="none"/>
                <w:lang w:val="sq-AL"/>
              </w:rPr>
            </w:pPr>
            <w:r>
              <w:rPr>
                <w:rFonts w:hint="eastAsia" w:ascii="宋体" w:hAnsi="宋体" w:eastAsia="宋体" w:cs="宋体"/>
                <w:color w:val="auto"/>
                <w:sz w:val="24"/>
                <w:highlight w:val="none"/>
                <w:lang w:val="sq-AL"/>
              </w:rPr>
              <w:t>正式验收合格之日起24个月。</w:t>
            </w:r>
          </w:p>
        </w:tc>
      </w:tr>
      <w:tr w14:paraId="1BC6D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9" w:hRule="atLeast"/>
        </w:trPr>
        <w:tc>
          <w:tcPr>
            <w:tcW w:w="1631" w:type="dxa"/>
            <w:vAlign w:val="center"/>
          </w:tcPr>
          <w:p w14:paraId="0F3A3F71">
            <w:pPr>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付款方式</w:t>
            </w:r>
          </w:p>
          <w:p w14:paraId="19BD917E">
            <w:pPr>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承诺</w:t>
            </w:r>
          </w:p>
        </w:tc>
        <w:tc>
          <w:tcPr>
            <w:tcW w:w="7348" w:type="dxa"/>
            <w:vAlign w:val="center"/>
          </w:tcPr>
          <w:p w14:paraId="44A3DD39">
            <w:pPr>
              <w:keepNext w:val="0"/>
              <w:keepLines w:val="0"/>
              <w:pageBreakBefore w:val="0"/>
              <w:widowControl w:val="0"/>
              <w:kinsoku/>
              <w:wordWrap/>
              <w:overflowPunct/>
              <w:topLinePunct w:val="0"/>
              <w:autoSpaceDE/>
              <w:autoSpaceDN/>
              <w:bidi w:val="0"/>
              <w:adjustRightInd w:val="0"/>
              <w:snapToGrid/>
              <w:spacing w:line="52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1、完成安装并接通运行后进行预验收，预验收三个月后进行正式验收，正式验收合格支付合同总价的60%；完成结算审定后，付至审定金额的95%。</w:t>
            </w:r>
          </w:p>
          <w:p w14:paraId="40F035C8">
            <w:pPr>
              <w:keepNext w:val="0"/>
              <w:keepLines w:val="0"/>
              <w:pageBreakBefore w:val="0"/>
              <w:widowControl w:val="0"/>
              <w:kinsoku/>
              <w:wordWrap/>
              <w:overflowPunct/>
              <w:topLinePunct w:val="0"/>
              <w:autoSpaceDE/>
              <w:autoSpaceDN/>
              <w:bidi w:val="0"/>
              <w:adjustRightInd w:val="0"/>
              <w:snapToGrid/>
              <w:spacing w:line="520" w:lineRule="exact"/>
              <w:ind w:firstLine="480" w:firstLineChars="200"/>
              <w:textAlignment w:val="auto"/>
              <w:rPr>
                <w:rFonts w:ascii="宋体" w:hAnsi="宋体" w:eastAsia="宋体" w:cs="宋体"/>
                <w:color w:val="auto"/>
                <w:sz w:val="24"/>
                <w:highlight w:val="none"/>
              </w:rPr>
            </w:pPr>
            <w:r>
              <w:rPr>
                <w:rFonts w:hint="eastAsia" w:ascii="宋体" w:hAnsi="宋体" w:eastAsia="宋体" w:cs="宋体"/>
                <w:color w:val="auto"/>
                <w:sz w:val="24"/>
                <w:highlight w:val="none"/>
              </w:rPr>
              <w:t>2、质量保证金按采购安装结算金额的5%提取，待缺陷责任期满后确认无质量问题1月内退还（不计息）。</w:t>
            </w:r>
          </w:p>
        </w:tc>
      </w:tr>
      <w:tr w14:paraId="6DC15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1631" w:type="dxa"/>
            <w:vAlign w:val="center"/>
          </w:tcPr>
          <w:p w14:paraId="2052CBE7">
            <w:pPr>
              <w:spacing w:line="440" w:lineRule="exact"/>
              <w:jc w:val="center"/>
              <w:rPr>
                <w:rFonts w:ascii="宋体" w:hAnsi="宋体" w:eastAsia="宋体" w:cs="宋体"/>
                <w:color w:val="auto"/>
                <w:sz w:val="24"/>
                <w:highlight w:val="none"/>
                <w:lang w:val="sq-AL"/>
              </w:rPr>
            </w:pPr>
            <w:r>
              <w:rPr>
                <w:rFonts w:hint="eastAsia" w:ascii="宋体" w:hAnsi="宋体" w:eastAsia="宋体" w:cs="宋体"/>
                <w:color w:val="auto"/>
                <w:sz w:val="24"/>
                <w:highlight w:val="none"/>
              </w:rPr>
              <w:t>其他</w:t>
            </w:r>
          </w:p>
        </w:tc>
        <w:tc>
          <w:tcPr>
            <w:tcW w:w="7348" w:type="dxa"/>
            <w:vAlign w:val="center"/>
          </w:tcPr>
          <w:p w14:paraId="2F2427AF">
            <w:pPr>
              <w:spacing w:line="40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响应招标文件要求</w:t>
            </w:r>
          </w:p>
        </w:tc>
      </w:tr>
    </w:tbl>
    <w:p w14:paraId="3AA48E23">
      <w:pPr>
        <w:spacing w:line="400" w:lineRule="exact"/>
        <w:jc w:val="center"/>
        <w:rPr>
          <w:rFonts w:ascii="宋体" w:hAnsi="宋体" w:eastAsia="宋体" w:cs="宋体"/>
          <w:color w:val="auto"/>
          <w:sz w:val="24"/>
          <w:highlight w:val="none"/>
          <w:lang w:val="sq-AL"/>
        </w:rPr>
      </w:pPr>
    </w:p>
    <w:p w14:paraId="0A878172">
      <w:pPr>
        <w:spacing w:line="400" w:lineRule="exact"/>
        <w:jc w:val="center"/>
        <w:rPr>
          <w:rFonts w:ascii="宋体" w:hAnsi="宋体" w:eastAsia="宋体" w:cs="宋体"/>
          <w:color w:val="auto"/>
          <w:sz w:val="24"/>
          <w:highlight w:val="none"/>
          <w:lang w:val="sq-AL"/>
        </w:rPr>
      </w:pPr>
      <w:r>
        <w:rPr>
          <w:rFonts w:hint="eastAsia" w:ascii="宋体" w:hAnsi="宋体" w:eastAsia="宋体" w:cs="宋体"/>
          <w:color w:val="auto"/>
          <w:sz w:val="24"/>
          <w:highlight w:val="none"/>
          <w:lang w:val="sq-AL"/>
        </w:rPr>
        <w:t>投标人公章：</w:t>
      </w:r>
    </w:p>
    <w:p w14:paraId="2407C5C0">
      <w:pPr>
        <w:spacing w:line="400" w:lineRule="exact"/>
        <w:jc w:val="center"/>
        <w:rPr>
          <w:rFonts w:ascii="宋体" w:hAnsi="宋体" w:eastAsia="宋体" w:cs="宋体"/>
          <w:color w:val="auto"/>
          <w:sz w:val="24"/>
          <w:highlight w:val="none"/>
          <w:lang w:val="sq-AL"/>
        </w:rPr>
      </w:pPr>
    </w:p>
    <w:p w14:paraId="283B7101">
      <w:pPr>
        <w:spacing w:line="400" w:lineRule="exact"/>
        <w:jc w:val="center"/>
        <w:rPr>
          <w:rFonts w:ascii="宋体" w:hAnsi="宋体" w:eastAsia="宋体" w:cs="宋体"/>
          <w:color w:val="auto"/>
          <w:sz w:val="24"/>
          <w:highlight w:val="none"/>
          <w:lang w:val="sq-AL"/>
        </w:rPr>
      </w:pPr>
      <w:r>
        <w:rPr>
          <w:rFonts w:hint="eastAsia" w:ascii="宋体" w:hAnsi="宋体" w:eastAsia="宋体" w:cs="宋体"/>
          <w:color w:val="auto"/>
          <w:sz w:val="24"/>
          <w:highlight w:val="none"/>
          <w:lang w:val="sq-AL"/>
        </w:rPr>
        <w:t>法定代表人或其委托代理人签字：</w:t>
      </w:r>
    </w:p>
    <w:p w14:paraId="29C6979B">
      <w:pPr>
        <w:spacing w:line="400" w:lineRule="exact"/>
        <w:jc w:val="right"/>
        <w:rPr>
          <w:rFonts w:ascii="宋体" w:hAnsi="宋体" w:eastAsia="宋体" w:cs="宋体"/>
          <w:color w:val="auto"/>
          <w:szCs w:val="21"/>
          <w:highlight w:val="none"/>
          <w:lang w:val="sq-AL"/>
        </w:rPr>
      </w:pPr>
      <w:r>
        <w:rPr>
          <w:rFonts w:hint="eastAsia" w:ascii="宋体" w:hAnsi="宋体" w:eastAsia="宋体" w:cs="宋体"/>
          <w:color w:val="auto"/>
          <w:sz w:val="24"/>
          <w:highlight w:val="none"/>
          <w:lang w:val="sq-AL"/>
        </w:rPr>
        <w:t>年   月    日</w:t>
      </w:r>
    </w:p>
    <w:p w14:paraId="062E0AE5">
      <w:pPr>
        <w:adjustRightInd w:val="0"/>
        <w:snapToGrid w:val="0"/>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1B5133D1">
      <w:pPr>
        <w:adjustRightInd w:val="0"/>
        <w:snapToGrid w:val="0"/>
        <w:jc w:val="center"/>
        <w:rPr>
          <w:rFonts w:ascii="宋体" w:hAnsi="宋体" w:eastAsia="宋体" w:cs="宋体"/>
          <w:color w:val="auto"/>
          <w:sz w:val="30"/>
          <w:szCs w:val="30"/>
          <w:highlight w:val="none"/>
        </w:rPr>
      </w:pPr>
      <w:r>
        <w:rPr>
          <w:rFonts w:hint="eastAsia" w:ascii="宋体" w:hAnsi="宋体" w:eastAsia="宋体" w:cs="宋体"/>
          <w:color w:val="auto"/>
          <w:sz w:val="30"/>
          <w:szCs w:val="30"/>
          <w:highlight w:val="none"/>
        </w:rPr>
        <w:t xml:space="preserve">分项价格表 </w:t>
      </w:r>
    </w:p>
    <w:p w14:paraId="517D5DBC">
      <w:pPr>
        <w:spacing w:line="360" w:lineRule="exact"/>
        <w:ind w:firstLine="241" w:firstLineChars="100"/>
        <w:rPr>
          <w:rFonts w:ascii="宋体" w:hAnsi="宋体" w:eastAsia="宋体" w:cs="宋体"/>
          <w:b/>
          <w:color w:val="auto"/>
          <w:sz w:val="24"/>
          <w:highlight w:val="none"/>
        </w:rPr>
      </w:pPr>
      <w:r>
        <w:rPr>
          <w:rFonts w:hint="eastAsia" w:ascii="宋体" w:hAnsi="宋体" w:eastAsia="宋体" w:cs="宋体"/>
          <w:b/>
          <w:color w:val="auto"/>
          <w:sz w:val="24"/>
          <w:highlight w:val="none"/>
        </w:rPr>
        <w:t>项目名称： 金额单位：元</w:t>
      </w:r>
    </w:p>
    <w:tbl>
      <w:tblPr>
        <w:tblStyle w:val="8"/>
        <w:tblpPr w:leftFromText="180" w:rightFromText="180" w:vertAnchor="text" w:horzAnchor="page" w:tblpX="1221" w:tblpY="209"/>
        <w:tblOverlap w:val="never"/>
        <w:tblW w:w="4990" w:type="pc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3"/>
        <w:gridCol w:w="1213"/>
        <w:gridCol w:w="819"/>
        <w:gridCol w:w="1056"/>
        <w:gridCol w:w="1006"/>
        <w:gridCol w:w="863"/>
        <w:gridCol w:w="836"/>
        <w:gridCol w:w="1176"/>
        <w:gridCol w:w="1339"/>
      </w:tblGrid>
      <w:tr w14:paraId="7A678F6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413" w:type="pct"/>
            <w:noWrap/>
            <w:vAlign w:val="center"/>
          </w:tcPr>
          <w:p w14:paraId="4A43DC36">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678" w:type="pct"/>
            <w:noWrap/>
            <w:vAlign w:val="center"/>
          </w:tcPr>
          <w:p w14:paraId="5CF08AAB">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货物名称</w:t>
            </w:r>
          </w:p>
        </w:tc>
        <w:tc>
          <w:tcPr>
            <w:tcW w:w="460" w:type="pct"/>
            <w:noWrap/>
            <w:vAlign w:val="center"/>
          </w:tcPr>
          <w:p w14:paraId="3B3CD473">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品牌</w:t>
            </w:r>
          </w:p>
        </w:tc>
        <w:tc>
          <w:tcPr>
            <w:tcW w:w="545" w:type="pct"/>
            <w:noWrap/>
            <w:vAlign w:val="center"/>
          </w:tcPr>
          <w:p w14:paraId="349D5BAF">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规   格</w:t>
            </w:r>
          </w:p>
        </w:tc>
        <w:tc>
          <w:tcPr>
            <w:tcW w:w="563" w:type="pct"/>
            <w:noWrap/>
            <w:vAlign w:val="center"/>
          </w:tcPr>
          <w:p w14:paraId="108AD2DF">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参数</w:t>
            </w:r>
          </w:p>
        </w:tc>
        <w:tc>
          <w:tcPr>
            <w:tcW w:w="484" w:type="pct"/>
            <w:noWrap/>
            <w:vAlign w:val="center"/>
          </w:tcPr>
          <w:p w14:paraId="7E92D930">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单位</w:t>
            </w:r>
          </w:p>
        </w:tc>
        <w:tc>
          <w:tcPr>
            <w:tcW w:w="469" w:type="pct"/>
            <w:noWrap/>
            <w:vAlign w:val="center"/>
          </w:tcPr>
          <w:p w14:paraId="416908F3">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637" w:type="pct"/>
            <w:noWrap/>
            <w:vAlign w:val="center"/>
          </w:tcPr>
          <w:p w14:paraId="00821327">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单价(元)</w:t>
            </w:r>
          </w:p>
        </w:tc>
        <w:tc>
          <w:tcPr>
            <w:tcW w:w="747" w:type="pct"/>
            <w:noWrap/>
            <w:vAlign w:val="center"/>
          </w:tcPr>
          <w:p w14:paraId="1A22B1D7">
            <w:pPr>
              <w:adjustRightInd w:val="0"/>
              <w:snapToGrid w:val="0"/>
              <w:spacing w:line="440" w:lineRule="exact"/>
              <w:rPr>
                <w:rFonts w:ascii="宋体" w:hAnsi="宋体" w:eastAsia="宋体" w:cs="宋体"/>
                <w:color w:val="auto"/>
                <w:sz w:val="24"/>
                <w:highlight w:val="none"/>
              </w:rPr>
            </w:pPr>
            <w:r>
              <w:rPr>
                <w:rFonts w:hint="eastAsia" w:ascii="宋体" w:hAnsi="宋体" w:eastAsia="宋体" w:cs="宋体"/>
                <w:color w:val="auto"/>
                <w:sz w:val="24"/>
                <w:highlight w:val="none"/>
              </w:rPr>
              <w:t>合计(元)</w:t>
            </w:r>
          </w:p>
        </w:tc>
      </w:tr>
      <w:tr w14:paraId="2EFAA51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ign w:val="center"/>
          </w:tcPr>
          <w:p w14:paraId="3AAD1E69">
            <w:pPr>
              <w:adjustRightInd w:val="0"/>
              <w:snapToGrid w:val="0"/>
              <w:spacing w:line="360" w:lineRule="auto"/>
              <w:jc w:val="center"/>
              <w:rPr>
                <w:rFonts w:ascii="宋体" w:hAnsi="宋体" w:eastAsia="宋体" w:cs="宋体"/>
                <w:color w:val="auto"/>
                <w:sz w:val="32"/>
                <w:szCs w:val="21"/>
                <w:highlight w:val="none"/>
              </w:rPr>
            </w:pPr>
          </w:p>
        </w:tc>
        <w:tc>
          <w:tcPr>
            <w:tcW w:w="678" w:type="pct"/>
            <w:noWrap/>
            <w:vAlign w:val="center"/>
          </w:tcPr>
          <w:p w14:paraId="2477D8ED">
            <w:pPr>
              <w:widowControl/>
              <w:jc w:val="center"/>
              <w:textAlignment w:val="center"/>
              <w:rPr>
                <w:rFonts w:ascii="宋体" w:hAnsi="宋体" w:eastAsia="宋体" w:cs="宋体"/>
                <w:color w:val="auto"/>
                <w:sz w:val="32"/>
                <w:szCs w:val="21"/>
                <w:highlight w:val="none"/>
              </w:rPr>
            </w:pPr>
          </w:p>
        </w:tc>
        <w:tc>
          <w:tcPr>
            <w:tcW w:w="460" w:type="pct"/>
            <w:noWrap/>
          </w:tcPr>
          <w:p w14:paraId="416085F7">
            <w:pPr>
              <w:adjustRightInd w:val="0"/>
              <w:snapToGrid w:val="0"/>
              <w:spacing w:line="360" w:lineRule="auto"/>
              <w:jc w:val="center"/>
              <w:rPr>
                <w:rFonts w:ascii="宋体" w:hAnsi="宋体" w:eastAsia="宋体" w:cs="宋体"/>
                <w:color w:val="auto"/>
                <w:sz w:val="32"/>
                <w:szCs w:val="21"/>
                <w:highlight w:val="none"/>
              </w:rPr>
            </w:pPr>
          </w:p>
        </w:tc>
        <w:tc>
          <w:tcPr>
            <w:tcW w:w="545" w:type="pct"/>
            <w:noWrap/>
          </w:tcPr>
          <w:p w14:paraId="6147812C">
            <w:pPr>
              <w:adjustRightInd w:val="0"/>
              <w:snapToGrid w:val="0"/>
              <w:spacing w:line="360" w:lineRule="auto"/>
              <w:jc w:val="center"/>
              <w:rPr>
                <w:rFonts w:ascii="宋体" w:hAnsi="宋体" w:eastAsia="宋体" w:cs="宋体"/>
                <w:color w:val="auto"/>
                <w:sz w:val="32"/>
                <w:szCs w:val="21"/>
                <w:highlight w:val="none"/>
              </w:rPr>
            </w:pPr>
          </w:p>
        </w:tc>
        <w:tc>
          <w:tcPr>
            <w:tcW w:w="563" w:type="pct"/>
            <w:noWrap/>
          </w:tcPr>
          <w:p w14:paraId="1DCF1912">
            <w:pPr>
              <w:adjustRightInd w:val="0"/>
              <w:snapToGrid w:val="0"/>
              <w:spacing w:line="360" w:lineRule="auto"/>
              <w:jc w:val="center"/>
              <w:rPr>
                <w:rFonts w:ascii="宋体" w:hAnsi="宋体" w:eastAsia="宋体" w:cs="宋体"/>
                <w:color w:val="auto"/>
                <w:sz w:val="32"/>
                <w:szCs w:val="21"/>
                <w:highlight w:val="none"/>
              </w:rPr>
            </w:pPr>
          </w:p>
        </w:tc>
        <w:tc>
          <w:tcPr>
            <w:tcW w:w="484" w:type="pct"/>
            <w:noWrap/>
          </w:tcPr>
          <w:p w14:paraId="25234A69">
            <w:pPr>
              <w:adjustRightInd w:val="0"/>
              <w:snapToGrid w:val="0"/>
              <w:spacing w:line="360" w:lineRule="auto"/>
              <w:jc w:val="center"/>
              <w:rPr>
                <w:rFonts w:ascii="宋体" w:hAnsi="宋体" w:eastAsia="宋体" w:cs="宋体"/>
                <w:color w:val="auto"/>
                <w:sz w:val="32"/>
                <w:szCs w:val="21"/>
                <w:highlight w:val="none"/>
              </w:rPr>
            </w:pPr>
          </w:p>
        </w:tc>
        <w:tc>
          <w:tcPr>
            <w:tcW w:w="469" w:type="pct"/>
            <w:noWrap/>
            <w:vAlign w:val="center"/>
          </w:tcPr>
          <w:p w14:paraId="7116C4EB">
            <w:pPr>
              <w:adjustRightInd w:val="0"/>
              <w:snapToGrid w:val="0"/>
              <w:spacing w:line="360" w:lineRule="auto"/>
              <w:jc w:val="center"/>
              <w:rPr>
                <w:rFonts w:ascii="宋体" w:hAnsi="宋体" w:eastAsia="宋体" w:cs="宋体"/>
                <w:color w:val="auto"/>
                <w:sz w:val="32"/>
                <w:szCs w:val="21"/>
                <w:highlight w:val="none"/>
              </w:rPr>
            </w:pPr>
          </w:p>
        </w:tc>
        <w:tc>
          <w:tcPr>
            <w:tcW w:w="637" w:type="pct"/>
            <w:noWrap/>
            <w:vAlign w:val="center"/>
          </w:tcPr>
          <w:p w14:paraId="1B912E13">
            <w:pPr>
              <w:adjustRightInd w:val="0"/>
              <w:snapToGrid w:val="0"/>
              <w:spacing w:line="360" w:lineRule="auto"/>
              <w:jc w:val="center"/>
              <w:rPr>
                <w:rFonts w:ascii="宋体" w:hAnsi="宋体" w:eastAsia="宋体" w:cs="宋体"/>
                <w:color w:val="auto"/>
                <w:sz w:val="32"/>
                <w:szCs w:val="21"/>
                <w:highlight w:val="none"/>
              </w:rPr>
            </w:pPr>
          </w:p>
        </w:tc>
        <w:tc>
          <w:tcPr>
            <w:tcW w:w="747" w:type="pct"/>
            <w:noWrap/>
          </w:tcPr>
          <w:p w14:paraId="34CD8B39">
            <w:pPr>
              <w:adjustRightInd w:val="0"/>
              <w:snapToGrid w:val="0"/>
              <w:spacing w:line="360" w:lineRule="auto"/>
              <w:jc w:val="center"/>
              <w:rPr>
                <w:rFonts w:ascii="宋体" w:hAnsi="宋体" w:eastAsia="宋体" w:cs="宋体"/>
                <w:color w:val="auto"/>
                <w:sz w:val="32"/>
                <w:szCs w:val="21"/>
                <w:highlight w:val="none"/>
              </w:rPr>
            </w:pPr>
          </w:p>
        </w:tc>
      </w:tr>
      <w:tr w14:paraId="41C6EEB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ign w:val="center"/>
          </w:tcPr>
          <w:p w14:paraId="4EA62678">
            <w:pPr>
              <w:adjustRightInd w:val="0"/>
              <w:snapToGrid w:val="0"/>
              <w:spacing w:line="360" w:lineRule="auto"/>
              <w:jc w:val="center"/>
              <w:rPr>
                <w:rFonts w:ascii="宋体" w:hAnsi="宋体" w:eastAsia="宋体" w:cs="宋体"/>
                <w:color w:val="auto"/>
                <w:sz w:val="32"/>
                <w:szCs w:val="21"/>
                <w:highlight w:val="none"/>
              </w:rPr>
            </w:pPr>
          </w:p>
        </w:tc>
        <w:tc>
          <w:tcPr>
            <w:tcW w:w="678" w:type="pct"/>
            <w:noWrap/>
            <w:vAlign w:val="center"/>
          </w:tcPr>
          <w:p w14:paraId="597F56BF">
            <w:pPr>
              <w:widowControl/>
              <w:jc w:val="center"/>
              <w:textAlignment w:val="center"/>
              <w:rPr>
                <w:rFonts w:ascii="宋体" w:hAnsi="宋体" w:eastAsia="宋体" w:cs="宋体"/>
                <w:color w:val="auto"/>
                <w:sz w:val="32"/>
                <w:szCs w:val="21"/>
                <w:highlight w:val="none"/>
              </w:rPr>
            </w:pPr>
          </w:p>
        </w:tc>
        <w:tc>
          <w:tcPr>
            <w:tcW w:w="460" w:type="pct"/>
            <w:noWrap/>
          </w:tcPr>
          <w:p w14:paraId="4B7BDCB0">
            <w:pPr>
              <w:adjustRightInd w:val="0"/>
              <w:snapToGrid w:val="0"/>
              <w:spacing w:line="360" w:lineRule="auto"/>
              <w:jc w:val="center"/>
              <w:rPr>
                <w:rFonts w:ascii="宋体" w:hAnsi="宋体" w:eastAsia="宋体" w:cs="宋体"/>
                <w:color w:val="auto"/>
                <w:sz w:val="32"/>
                <w:szCs w:val="21"/>
                <w:highlight w:val="none"/>
              </w:rPr>
            </w:pPr>
          </w:p>
        </w:tc>
        <w:tc>
          <w:tcPr>
            <w:tcW w:w="545" w:type="pct"/>
            <w:noWrap/>
          </w:tcPr>
          <w:p w14:paraId="46C1C3C5">
            <w:pPr>
              <w:adjustRightInd w:val="0"/>
              <w:snapToGrid w:val="0"/>
              <w:spacing w:line="360" w:lineRule="auto"/>
              <w:jc w:val="center"/>
              <w:rPr>
                <w:rFonts w:ascii="宋体" w:hAnsi="宋体" w:eastAsia="宋体" w:cs="宋体"/>
                <w:color w:val="auto"/>
                <w:sz w:val="32"/>
                <w:szCs w:val="21"/>
                <w:highlight w:val="none"/>
              </w:rPr>
            </w:pPr>
          </w:p>
        </w:tc>
        <w:tc>
          <w:tcPr>
            <w:tcW w:w="563" w:type="pct"/>
            <w:noWrap/>
          </w:tcPr>
          <w:p w14:paraId="174CCABF">
            <w:pPr>
              <w:adjustRightInd w:val="0"/>
              <w:snapToGrid w:val="0"/>
              <w:spacing w:line="360" w:lineRule="auto"/>
              <w:jc w:val="center"/>
              <w:rPr>
                <w:rFonts w:ascii="宋体" w:hAnsi="宋体" w:eastAsia="宋体" w:cs="宋体"/>
                <w:color w:val="auto"/>
                <w:sz w:val="32"/>
                <w:szCs w:val="21"/>
                <w:highlight w:val="none"/>
              </w:rPr>
            </w:pPr>
          </w:p>
        </w:tc>
        <w:tc>
          <w:tcPr>
            <w:tcW w:w="484" w:type="pct"/>
            <w:noWrap/>
          </w:tcPr>
          <w:p w14:paraId="63766BBF">
            <w:pPr>
              <w:adjustRightInd w:val="0"/>
              <w:snapToGrid w:val="0"/>
              <w:spacing w:line="360" w:lineRule="auto"/>
              <w:jc w:val="center"/>
              <w:rPr>
                <w:rFonts w:ascii="宋体" w:hAnsi="宋体" w:eastAsia="宋体" w:cs="宋体"/>
                <w:color w:val="auto"/>
                <w:sz w:val="32"/>
                <w:szCs w:val="21"/>
                <w:highlight w:val="none"/>
              </w:rPr>
            </w:pPr>
          </w:p>
        </w:tc>
        <w:tc>
          <w:tcPr>
            <w:tcW w:w="469" w:type="pct"/>
            <w:noWrap/>
            <w:vAlign w:val="center"/>
          </w:tcPr>
          <w:p w14:paraId="3C6FB605">
            <w:pPr>
              <w:adjustRightInd w:val="0"/>
              <w:snapToGrid w:val="0"/>
              <w:spacing w:line="360" w:lineRule="auto"/>
              <w:jc w:val="center"/>
              <w:rPr>
                <w:rFonts w:ascii="宋体" w:hAnsi="宋体" w:eastAsia="宋体" w:cs="宋体"/>
                <w:color w:val="auto"/>
                <w:sz w:val="32"/>
                <w:szCs w:val="21"/>
                <w:highlight w:val="none"/>
              </w:rPr>
            </w:pPr>
          </w:p>
        </w:tc>
        <w:tc>
          <w:tcPr>
            <w:tcW w:w="637" w:type="pct"/>
            <w:noWrap/>
            <w:vAlign w:val="center"/>
          </w:tcPr>
          <w:p w14:paraId="11782104">
            <w:pPr>
              <w:adjustRightInd w:val="0"/>
              <w:snapToGrid w:val="0"/>
              <w:spacing w:line="360" w:lineRule="auto"/>
              <w:jc w:val="center"/>
              <w:rPr>
                <w:rFonts w:ascii="宋体" w:hAnsi="宋体" w:eastAsia="宋体" w:cs="宋体"/>
                <w:color w:val="auto"/>
                <w:sz w:val="32"/>
                <w:szCs w:val="21"/>
                <w:highlight w:val="none"/>
              </w:rPr>
            </w:pPr>
          </w:p>
        </w:tc>
        <w:tc>
          <w:tcPr>
            <w:tcW w:w="747" w:type="pct"/>
            <w:noWrap/>
          </w:tcPr>
          <w:p w14:paraId="09A66413">
            <w:pPr>
              <w:adjustRightInd w:val="0"/>
              <w:snapToGrid w:val="0"/>
              <w:spacing w:line="360" w:lineRule="auto"/>
              <w:jc w:val="center"/>
              <w:rPr>
                <w:rFonts w:ascii="宋体" w:hAnsi="宋体" w:eastAsia="宋体" w:cs="宋体"/>
                <w:color w:val="auto"/>
                <w:sz w:val="32"/>
                <w:szCs w:val="21"/>
                <w:highlight w:val="none"/>
              </w:rPr>
            </w:pPr>
          </w:p>
        </w:tc>
      </w:tr>
      <w:tr w14:paraId="5ED5057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ign w:val="center"/>
          </w:tcPr>
          <w:p w14:paraId="7F382DC5">
            <w:pPr>
              <w:adjustRightInd w:val="0"/>
              <w:snapToGrid w:val="0"/>
              <w:spacing w:line="360" w:lineRule="auto"/>
              <w:jc w:val="center"/>
              <w:rPr>
                <w:rFonts w:ascii="宋体" w:hAnsi="宋体" w:eastAsia="宋体" w:cs="宋体"/>
                <w:color w:val="auto"/>
                <w:sz w:val="32"/>
                <w:szCs w:val="21"/>
                <w:highlight w:val="none"/>
              </w:rPr>
            </w:pPr>
          </w:p>
        </w:tc>
        <w:tc>
          <w:tcPr>
            <w:tcW w:w="678" w:type="pct"/>
            <w:noWrap/>
            <w:vAlign w:val="center"/>
          </w:tcPr>
          <w:p w14:paraId="1C1D1981">
            <w:pPr>
              <w:widowControl/>
              <w:jc w:val="center"/>
              <w:textAlignment w:val="center"/>
              <w:rPr>
                <w:rFonts w:ascii="宋体" w:hAnsi="宋体" w:eastAsia="宋体" w:cs="宋体"/>
                <w:color w:val="auto"/>
                <w:sz w:val="32"/>
                <w:szCs w:val="21"/>
                <w:highlight w:val="none"/>
              </w:rPr>
            </w:pPr>
          </w:p>
        </w:tc>
        <w:tc>
          <w:tcPr>
            <w:tcW w:w="460" w:type="pct"/>
            <w:noWrap/>
          </w:tcPr>
          <w:p w14:paraId="7857F762">
            <w:pPr>
              <w:adjustRightInd w:val="0"/>
              <w:snapToGrid w:val="0"/>
              <w:spacing w:line="360" w:lineRule="auto"/>
              <w:jc w:val="center"/>
              <w:rPr>
                <w:rFonts w:ascii="宋体" w:hAnsi="宋体" w:eastAsia="宋体" w:cs="宋体"/>
                <w:color w:val="auto"/>
                <w:sz w:val="32"/>
                <w:szCs w:val="21"/>
                <w:highlight w:val="none"/>
              </w:rPr>
            </w:pPr>
          </w:p>
        </w:tc>
        <w:tc>
          <w:tcPr>
            <w:tcW w:w="545" w:type="pct"/>
            <w:noWrap/>
          </w:tcPr>
          <w:p w14:paraId="7D8E65F8">
            <w:pPr>
              <w:adjustRightInd w:val="0"/>
              <w:snapToGrid w:val="0"/>
              <w:spacing w:line="360" w:lineRule="auto"/>
              <w:jc w:val="center"/>
              <w:rPr>
                <w:rFonts w:ascii="宋体" w:hAnsi="宋体" w:eastAsia="宋体" w:cs="宋体"/>
                <w:color w:val="auto"/>
                <w:sz w:val="32"/>
                <w:szCs w:val="21"/>
                <w:highlight w:val="none"/>
              </w:rPr>
            </w:pPr>
          </w:p>
        </w:tc>
        <w:tc>
          <w:tcPr>
            <w:tcW w:w="563" w:type="pct"/>
            <w:noWrap/>
          </w:tcPr>
          <w:p w14:paraId="3A1FFC65">
            <w:pPr>
              <w:adjustRightInd w:val="0"/>
              <w:snapToGrid w:val="0"/>
              <w:spacing w:line="360" w:lineRule="auto"/>
              <w:jc w:val="center"/>
              <w:rPr>
                <w:rFonts w:ascii="宋体" w:hAnsi="宋体" w:eastAsia="宋体" w:cs="宋体"/>
                <w:color w:val="auto"/>
                <w:sz w:val="32"/>
                <w:szCs w:val="21"/>
                <w:highlight w:val="none"/>
              </w:rPr>
            </w:pPr>
          </w:p>
        </w:tc>
        <w:tc>
          <w:tcPr>
            <w:tcW w:w="484" w:type="pct"/>
            <w:noWrap/>
          </w:tcPr>
          <w:p w14:paraId="58C11336">
            <w:pPr>
              <w:adjustRightInd w:val="0"/>
              <w:snapToGrid w:val="0"/>
              <w:spacing w:line="360" w:lineRule="auto"/>
              <w:jc w:val="center"/>
              <w:rPr>
                <w:rFonts w:ascii="宋体" w:hAnsi="宋体" w:eastAsia="宋体" w:cs="宋体"/>
                <w:color w:val="auto"/>
                <w:sz w:val="32"/>
                <w:szCs w:val="21"/>
                <w:highlight w:val="none"/>
              </w:rPr>
            </w:pPr>
          </w:p>
        </w:tc>
        <w:tc>
          <w:tcPr>
            <w:tcW w:w="469" w:type="pct"/>
            <w:noWrap/>
            <w:vAlign w:val="center"/>
          </w:tcPr>
          <w:p w14:paraId="15BD6EEB">
            <w:pPr>
              <w:adjustRightInd w:val="0"/>
              <w:snapToGrid w:val="0"/>
              <w:spacing w:line="360" w:lineRule="auto"/>
              <w:jc w:val="center"/>
              <w:rPr>
                <w:rFonts w:ascii="宋体" w:hAnsi="宋体" w:eastAsia="宋体" w:cs="宋体"/>
                <w:color w:val="auto"/>
                <w:sz w:val="32"/>
                <w:szCs w:val="21"/>
                <w:highlight w:val="none"/>
              </w:rPr>
            </w:pPr>
          </w:p>
        </w:tc>
        <w:tc>
          <w:tcPr>
            <w:tcW w:w="637" w:type="pct"/>
            <w:noWrap/>
            <w:vAlign w:val="center"/>
          </w:tcPr>
          <w:p w14:paraId="310B2B02">
            <w:pPr>
              <w:adjustRightInd w:val="0"/>
              <w:snapToGrid w:val="0"/>
              <w:spacing w:line="360" w:lineRule="auto"/>
              <w:jc w:val="center"/>
              <w:rPr>
                <w:rFonts w:ascii="宋体" w:hAnsi="宋体" w:eastAsia="宋体" w:cs="宋体"/>
                <w:color w:val="auto"/>
                <w:sz w:val="32"/>
                <w:szCs w:val="21"/>
                <w:highlight w:val="none"/>
              </w:rPr>
            </w:pPr>
          </w:p>
        </w:tc>
        <w:tc>
          <w:tcPr>
            <w:tcW w:w="747" w:type="pct"/>
            <w:noWrap/>
          </w:tcPr>
          <w:p w14:paraId="5F8A4CA2">
            <w:pPr>
              <w:adjustRightInd w:val="0"/>
              <w:snapToGrid w:val="0"/>
              <w:spacing w:line="360" w:lineRule="auto"/>
              <w:jc w:val="center"/>
              <w:rPr>
                <w:rFonts w:ascii="宋体" w:hAnsi="宋体" w:eastAsia="宋体" w:cs="宋体"/>
                <w:color w:val="auto"/>
                <w:sz w:val="32"/>
                <w:szCs w:val="21"/>
                <w:highlight w:val="none"/>
              </w:rPr>
            </w:pPr>
          </w:p>
        </w:tc>
      </w:tr>
      <w:tr w14:paraId="13FD131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ign w:val="center"/>
          </w:tcPr>
          <w:p w14:paraId="48B1EA4B">
            <w:pPr>
              <w:adjustRightInd w:val="0"/>
              <w:snapToGrid w:val="0"/>
              <w:spacing w:line="360" w:lineRule="auto"/>
              <w:jc w:val="center"/>
              <w:rPr>
                <w:rFonts w:ascii="宋体" w:hAnsi="宋体" w:eastAsia="宋体" w:cs="宋体"/>
                <w:color w:val="auto"/>
                <w:sz w:val="32"/>
                <w:szCs w:val="21"/>
                <w:highlight w:val="none"/>
              </w:rPr>
            </w:pPr>
          </w:p>
        </w:tc>
        <w:tc>
          <w:tcPr>
            <w:tcW w:w="678" w:type="pct"/>
            <w:noWrap/>
            <w:vAlign w:val="center"/>
          </w:tcPr>
          <w:p w14:paraId="7D35457B">
            <w:pPr>
              <w:widowControl/>
              <w:jc w:val="center"/>
              <w:textAlignment w:val="center"/>
              <w:rPr>
                <w:rFonts w:ascii="宋体" w:hAnsi="宋体" w:eastAsia="宋体" w:cs="宋体"/>
                <w:color w:val="auto"/>
                <w:sz w:val="32"/>
                <w:szCs w:val="21"/>
                <w:highlight w:val="none"/>
              </w:rPr>
            </w:pPr>
          </w:p>
        </w:tc>
        <w:tc>
          <w:tcPr>
            <w:tcW w:w="460" w:type="pct"/>
            <w:noWrap/>
          </w:tcPr>
          <w:p w14:paraId="555806A1">
            <w:pPr>
              <w:adjustRightInd w:val="0"/>
              <w:snapToGrid w:val="0"/>
              <w:spacing w:line="360" w:lineRule="auto"/>
              <w:jc w:val="center"/>
              <w:rPr>
                <w:rFonts w:ascii="宋体" w:hAnsi="宋体" w:eastAsia="宋体" w:cs="宋体"/>
                <w:color w:val="auto"/>
                <w:sz w:val="32"/>
                <w:szCs w:val="21"/>
                <w:highlight w:val="none"/>
              </w:rPr>
            </w:pPr>
          </w:p>
        </w:tc>
        <w:tc>
          <w:tcPr>
            <w:tcW w:w="545" w:type="pct"/>
            <w:noWrap/>
          </w:tcPr>
          <w:p w14:paraId="0949BE51">
            <w:pPr>
              <w:adjustRightInd w:val="0"/>
              <w:snapToGrid w:val="0"/>
              <w:spacing w:line="360" w:lineRule="auto"/>
              <w:jc w:val="center"/>
              <w:rPr>
                <w:rFonts w:ascii="宋体" w:hAnsi="宋体" w:eastAsia="宋体" w:cs="宋体"/>
                <w:color w:val="auto"/>
                <w:sz w:val="32"/>
                <w:szCs w:val="21"/>
                <w:highlight w:val="none"/>
              </w:rPr>
            </w:pPr>
          </w:p>
        </w:tc>
        <w:tc>
          <w:tcPr>
            <w:tcW w:w="563" w:type="pct"/>
            <w:noWrap/>
          </w:tcPr>
          <w:p w14:paraId="1D0800E0">
            <w:pPr>
              <w:adjustRightInd w:val="0"/>
              <w:snapToGrid w:val="0"/>
              <w:spacing w:line="360" w:lineRule="auto"/>
              <w:jc w:val="center"/>
              <w:rPr>
                <w:rFonts w:ascii="宋体" w:hAnsi="宋体" w:eastAsia="宋体" w:cs="宋体"/>
                <w:color w:val="auto"/>
                <w:sz w:val="32"/>
                <w:szCs w:val="21"/>
                <w:highlight w:val="none"/>
              </w:rPr>
            </w:pPr>
          </w:p>
        </w:tc>
        <w:tc>
          <w:tcPr>
            <w:tcW w:w="484" w:type="pct"/>
            <w:noWrap/>
          </w:tcPr>
          <w:p w14:paraId="1DF5B38D">
            <w:pPr>
              <w:adjustRightInd w:val="0"/>
              <w:snapToGrid w:val="0"/>
              <w:spacing w:line="360" w:lineRule="auto"/>
              <w:jc w:val="center"/>
              <w:rPr>
                <w:rFonts w:ascii="宋体" w:hAnsi="宋体" w:eastAsia="宋体" w:cs="宋体"/>
                <w:color w:val="auto"/>
                <w:sz w:val="32"/>
                <w:szCs w:val="21"/>
                <w:highlight w:val="none"/>
              </w:rPr>
            </w:pPr>
          </w:p>
        </w:tc>
        <w:tc>
          <w:tcPr>
            <w:tcW w:w="469" w:type="pct"/>
            <w:noWrap/>
            <w:vAlign w:val="center"/>
          </w:tcPr>
          <w:p w14:paraId="735F8E1E">
            <w:pPr>
              <w:adjustRightInd w:val="0"/>
              <w:snapToGrid w:val="0"/>
              <w:spacing w:line="360" w:lineRule="auto"/>
              <w:jc w:val="center"/>
              <w:rPr>
                <w:rFonts w:ascii="宋体" w:hAnsi="宋体" w:eastAsia="宋体" w:cs="宋体"/>
                <w:color w:val="auto"/>
                <w:sz w:val="32"/>
                <w:szCs w:val="21"/>
                <w:highlight w:val="none"/>
              </w:rPr>
            </w:pPr>
          </w:p>
        </w:tc>
        <w:tc>
          <w:tcPr>
            <w:tcW w:w="637" w:type="pct"/>
            <w:noWrap/>
            <w:vAlign w:val="center"/>
          </w:tcPr>
          <w:p w14:paraId="747C4534">
            <w:pPr>
              <w:adjustRightInd w:val="0"/>
              <w:snapToGrid w:val="0"/>
              <w:spacing w:line="360" w:lineRule="auto"/>
              <w:jc w:val="center"/>
              <w:rPr>
                <w:rFonts w:ascii="宋体" w:hAnsi="宋体" w:eastAsia="宋体" w:cs="宋体"/>
                <w:color w:val="auto"/>
                <w:sz w:val="32"/>
                <w:szCs w:val="21"/>
                <w:highlight w:val="none"/>
              </w:rPr>
            </w:pPr>
          </w:p>
        </w:tc>
        <w:tc>
          <w:tcPr>
            <w:tcW w:w="747" w:type="pct"/>
            <w:noWrap/>
          </w:tcPr>
          <w:p w14:paraId="7AE4510F">
            <w:pPr>
              <w:adjustRightInd w:val="0"/>
              <w:snapToGrid w:val="0"/>
              <w:spacing w:line="360" w:lineRule="auto"/>
              <w:jc w:val="center"/>
              <w:rPr>
                <w:rFonts w:ascii="宋体" w:hAnsi="宋体" w:eastAsia="宋体" w:cs="宋体"/>
                <w:color w:val="auto"/>
                <w:sz w:val="32"/>
                <w:szCs w:val="21"/>
                <w:highlight w:val="none"/>
              </w:rPr>
            </w:pPr>
          </w:p>
        </w:tc>
      </w:tr>
      <w:tr w14:paraId="7BA0A65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ign w:val="center"/>
          </w:tcPr>
          <w:p w14:paraId="7BF76FCE">
            <w:pPr>
              <w:adjustRightInd w:val="0"/>
              <w:snapToGrid w:val="0"/>
              <w:spacing w:line="360" w:lineRule="auto"/>
              <w:jc w:val="center"/>
              <w:rPr>
                <w:rFonts w:ascii="宋体" w:hAnsi="宋体" w:eastAsia="宋体" w:cs="宋体"/>
                <w:color w:val="auto"/>
                <w:sz w:val="32"/>
                <w:szCs w:val="21"/>
                <w:highlight w:val="none"/>
              </w:rPr>
            </w:pPr>
          </w:p>
        </w:tc>
        <w:tc>
          <w:tcPr>
            <w:tcW w:w="678" w:type="pct"/>
            <w:noWrap/>
            <w:vAlign w:val="center"/>
          </w:tcPr>
          <w:p w14:paraId="0358D8B9">
            <w:pPr>
              <w:adjustRightInd w:val="0"/>
              <w:snapToGrid w:val="0"/>
              <w:spacing w:line="360" w:lineRule="auto"/>
              <w:jc w:val="center"/>
              <w:rPr>
                <w:rFonts w:ascii="宋体" w:hAnsi="宋体" w:eastAsia="宋体" w:cs="宋体"/>
                <w:color w:val="auto"/>
                <w:sz w:val="32"/>
                <w:szCs w:val="21"/>
                <w:highlight w:val="none"/>
              </w:rPr>
            </w:pPr>
          </w:p>
        </w:tc>
        <w:tc>
          <w:tcPr>
            <w:tcW w:w="460" w:type="pct"/>
            <w:noWrap/>
          </w:tcPr>
          <w:p w14:paraId="30663DE2">
            <w:pPr>
              <w:adjustRightInd w:val="0"/>
              <w:snapToGrid w:val="0"/>
              <w:spacing w:line="360" w:lineRule="auto"/>
              <w:jc w:val="center"/>
              <w:rPr>
                <w:rFonts w:ascii="宋体" w:hAnsi="宋体" w:eastAsia="宋体" w:cs="宋体"/>
                <w:color w:val="auto"/>
                <w:sz w:val="32"/>
                <w:szCs w:val="21"/>
                <w:highlight w:val="none"/>
              </w:rPr>
            </w:pPr>
          </w:p>
        </w:tc>
        <w:tc>
          <w:tcPr>
            <w:tcW w:w="545" w:type="pct"/>
            <w:noWrap/>
          </w:tcPr>
          <w:p w14:paraId="3C366646">
            <w:pPr>
              <w:adjustRightInd w:val="0"/>
              <w:snapToGrid w:val="0"/>
              <w:spacing w:line="360" w:lineRule="auto"/>
              <w:jc w:val="center"/>
              <w:rPr>
                <w:rFonts w:ascii="宋体" w:hAnsi="宋体" w:eastAsia="宋体" w:cs="宋体"/>
                <w:color w:val="auto"/>
                <w:sz w:val="32"/>
                <w:szCs w:val="21"/>
                <w:highlight w:val="none"/>
              </w:rPr>
            </w:pPr>
          </w:p>
        </w:tc>
        <w:tc>
          <w:tcPr>
            <w:tcW w:w="563" w:type="pct"/>
            <w:noWrap/>
          </w:tcPr>
          <w:p w14:paraId="7F4A93AA">
            <w:pPr>
              <w:adjustRightInd w:val="0"/>
              <w:snapToGrid w:val="0"/>
              <w:spacing w:line="360" w:lineRule="auto"/>
              <w:jc w:val="center"/>
              <w:rPr>
                <w:rFonts w:ascii="宋体" w:hAnsi="宋体" w:eastAsia="宋体" w:cs="宋体"/>
                <w:color w:val="auto"/>
                <w:sz w:val="32"/>
                <w:szCs w:val="21"/>
                <w:highlight w:val="none"/>
              </w:rPr>
            </w:pPr>
          </w:p>
        </w:tc>
        <w:tc>
          <w:tcPr>
            <w:tcW w:w="484" w:type="pct"/>
            <w:noWrap/>
          </w:tcPr>
          <w:p w14:paraId="77F371EC">
            <w:pPr>
              <w:adjustRightInd w:val="0"/>
              <w:snapToGrid w:val="0"/>
              <w:spacing w:line="360" w:lineRule="auto"/>
              <w:jc w:val="center"/>
              <w:rPr>
                <w:rFonts w:ascii="宋体" w:hAnsi="宋体" w:eastAsia="宋体" w:cs="宋体"/>
                <w:color w:val="auto"/>
                <w:sz w:val="32"/>
                <w:szCs w:val="21"/>
                <w:highlight w:val="none"/>
              </w:rPr>
            </w:pPr>
          </w:p>
        </w:tc>
        <w:tc>
          <w:tcPr>
            <w:tcW w:w="469" w:type="pct"/>
            <w:noWrap/>
            <w:vAlign w:val="center"/>
          </w:tcPr>
          <w:p w14:paraId="161B24C3">
            <w:pPr>
              <w:adjustRightInd w:val="0"/>
              <w:snapToGrid w:val="0"/>
              <w:spacing w:line="360" w:lineRule="auto"/>
              <w:jc w:val="center"/>
              <w:rPr>
                <w:rFonts w:ascii="宋体" w:hAnsi="宋体" w:eastAsia="宋体" w:cs="宋体"/>
                <w:color w:val="auto"/>
                <w:sz w:val="32"/>
                <w:szCs w:val="21"/>
                <w:highlight w:val="none"/>
              </w:rPr>
            </w:pPr>
          </w:p>
        </w:tc>
        <w:tc>
          <w:tcPr>
            <w:tcW w:w="637" w:type="pct"/>
            <w:noWrap/>
            <w:vAlign w:val="center"/>
          </w:tcPr>
          <w:p w14:paraId="34ED797A">
            <w:pPr>
              <w:adjustRightInd w:val="0"/>
              <w:snapToGrid w:val="0"/>
              <w:spacing w:line="360" w:lineRule="auto"/>
              <w:jc w:val="center"/>
              <w:rPr>
                <w:rFonts w:ascii="宋体" w:hAnsi="宋体" w:eastAsia="宋体" w:cs="宋体"/>
                <w:color w:val="auto"/>
                <w:sz w:val="32"/>
                <w:szCs w:val="21"/>
                <w:highlight w:val="none"/>
              </w:rPr>
            </w:pPr>
          </w:p>
        </w:tc>
        <w:tc>
          <w:tcPr>
            <w:tcW w:w="747" w:type="pct"/>
            <w:noWrap/>
          </w:tcPr>
          <w:p w14:paraId="0BC890FF">
            <w:pPr>
              <w:adjustRightInd w:val="0"/>
              <w:snapToGrid w:val="0"/>
              <w:spacing w:line="360" w:lineRule="auto"/>
              <w:jc w:val="center"/>
              <w:rPr>
                <w:rFonts w:ascii="宋体" w:hAnsi="宋体" w:eastAsia="宋体" w:cs="宋体"/>
                <w:color w:val="auto"/>
                <w:sz w:val="32"/>
                <w:szCs w:val="21"/>
                <w:highlight w:val="none"/>
              </w:rPr>
            </w:pPr>
          </w:p>
        </w:tc>
      </w:tr>
      <w:tr w14:paraId="6007B6E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13" w:type="pct"/>
            <w:noWrap/>
            <w:vAlign w:val="center"/>
          </w:tcPr>
          <w:p w14:paraId="4E5520E3">
            <w:pPr>
              <w:adjustRightInd w:val="0"/>
              <w:snapToGrid w:val="0"/>
              <w:spacing w:line="360" w:lineRule="auto"/>
              <w:jc w:val="center"/>
              <w:rPr>
                <w:rFonts w:ascii="宋体" w:hAnsi="宋体" w:eastAsia="宋体" w:cs="宋体"/>
                <w:color w:val="auto"/>
                <w:sz w:val="32"/>
                <w:szCs w:val="21"/>
                <w:highlight w:val="none"/>
              </w:rPr>
            </w:pPr>
          </w:p>
        </w:tc>
        <w:tc>
          <w:tcPr>
            <w:tcW w:w="678" w:type="pct"/>
            <w:noWrap/>
            <w:vAlign w:val="center"/>
          </w:tcPr>
          <w:p w14:paraId="0D1BA10C">
            <w:pPr>
              <w:adjustRightInd w:val="0"/>
              <w:snapToGrid w:val="0"/>
              <w:spacing w:line="360" w:lineRule="auto"/>
              <w:jc w:val="center"/>
              <w:rPr>
                <w:rFonts w:ascii="宋体" w:hAnsi="宋体" w:eastAsia="宋体" w:cs="宋体"/>
                <w:color w:val="auto"/>
                <w:sz w:val="32"/>
                <w:szCs w:val="21"/>
                <w:highlight w:val="none"/>
              </w:rPr>
            </w:pPr>
            <w:r>
              <w:rPr>
                <w:rFonts w:hint="eastAsia" w:ascii="宋体" w:hAnsi="宋体" w:eastAsia="宋体" w:cs="宋体"/>
                <w:color w:val="auto"/>
                <w:sz w:val="32"/>
                <w:szCs w:val="21"/>
                <w:highlight w:val="none"/>
              </w:rPr>
              <w:t>合计</w:t>
            </w:r>
          </w:p>
        </w:tc>
        <w:tc>
          <w:tcPr>
            <w:tcW w:w="460" w:type="pct"/>
            <w:noWrap/>
          </w:tcPr>
          <w:p w14:paraId="69A2598B">
            <w:pPr>
              <w:adjustRightInd w:val="0"/>
              <w:snapToGrid w:val="0"/>
              <w:spacing w:line="360" w:lineRule="auto"/>
              <w:jc w:val="center"/>
              <w:rPr>
                <w:rFonts w:ascii="宋体" w:hAnsi="宋体" w:eastAsia="宋体" w:cs="宋体"/>
                <w:color w:val="auto"/>
                <w:sz w:val="32"/>
                <w:szCs w:val="21"/>
                <w:highlight w:val="none"/>
              </w:rPr>
            </w:pPr>
          </w:p>
        </w:tc>
        <w:tc>
          <w:tcPr>
            <w:tcW w:w="545" w:type="pct"/>
            <w:noWrap/>
          </w:tcPr>
          <w:p w14:paraId="1EEB9799">
            <w:pPr>
              <w:adjustRightInd w:val="0"/>
              <w:snapToGrid w:val="0"/>
              <w:spacing w:line="360" w:lineRule="auto"/>
              <w:jc w:val="center"/>
              <w:rPr>
                <w:rFonts w:ascii="宋体" w:hAnsi="宋体" w:eastAsia="宋体" w:cs="宋体"/>
                <w:color w:val="auto"/>
                <w:sz w:val="32"/>
                <w:szCs w:val="21"/>
                <w:highlight w:val="none"/>
              </w:rPr>
            </w:pPr>
          </w:p>
        </w:tc>
        <w:tc>
          <w:tcPr>
            <w:tcW w:w="563" w:type="pct"/>
            <w:noWrap/>
          </w:tcPr>
          <w:p w14:paraId="6884D38B">
            <w:pPr>
              <w:adjustRightInd w:val="0"/>
              <w:snapToGrid w:val="0"/>
              <w:spacing w:line="360" w:lineRule="auto"/>
              <w:jc w:val="center"/>
              <w:rPr>
                <w:rFonts w:ascii="宋体" w:hAnsi="宋体" w:eastAsia="宋体" w:cs="宋体"/>
                <w:color w:val="auto"/>
                <w:sz w:val="32"/>
                <w:szCs w:val="21"/>
                <w:highlight w:val="none"/>
              </w:rPr>
            </w:pPr>
          </w:p>
        </w:tc>
        <w:tc>
          <w:tcPr>
            <w:tcW w:w="484" w:type="pct"/>
            <w:noWrap/>
          </w:tcPr>
          <w:p w14:paraId="3D054698">
            <w:pPr>
              <w:adjustRightInd w:val="0"/>
              <w:snapToGrid w:val="0"/>
              <w:spacing w:line="360" w:lineRule="auto"/>
              <w:jc w:val="center"/>
              <w:rPr>
                <w:rFonts w:ascii="宋体" w:hAnsi="宋体" w:eastAsia="宋体" w:cs="宋体"/>
                <w:color w:val="auto"/>
                <w:sz w:val="32"/>
                <w:szCs w:val="21"/>
                <w:highlight w:val="none"/>
              </w:rPr>
            </w:pPr>
          </w:p>
        </w:tc>
        <w:tc>
          <w:tcPr>
            <w:tcW w:w="469" w:type="pct"/>
            <w:noWrap/>
            <w:vAlign w:val="center"/>
          </w:tcPr>
          <w:p w14:paraId="057B387C">
            <w:pPr>
              <w:adjustRightInd w:val="0"/>
              <w:snapToGrid w:val="0"/>
              <w:spacing w:line="360" w:lineRule="auto"/>
              <w:jc w:val="center"/>
              <w:rPr>
                <w:rFonts w:ascii="宋体" w:hAnsi="宋体" w:eastAsia="宋体" w:cs="宋体"/>
                <w:color w:val="auto"/>
                <w:sz w:val="32"/>
                <w:szCs w:val="21"/>
                <w:highlight w:val="none"/>
              </w:rPr>
            </w:pPr>
          </w:p>
        </w:tc>
        <w:tc>
          <w:tcPr>
            <w:tcW w:w="637" w:type="pct"/>
            <w:noWrap/>
            <w:vAlign w:val="center"/>
          </w:tcPr>
          <w:p w14:paraId="2D7BACB5">
            <w:pPr>
              <w:adjustRightInd w:val="0"/>
              <w:snapToGrid w:val="0"/>
              <w:spacing w:line="360" w:lineRule="auto"/>
              <w:jc w:val="center"/>
              <w:rPr>
                <w:rFonts w:ascii="宋体" w:hAnsi="宋体" w:eastAsia="宋体" w:cs="宋体"/>
                <w:color w:val="auto"/>
                <w:sz w:val="32"/>
                <w:szCs w:val="21"/>
                <w:highlight w:val="none"/>
              </w:rPr>
            </w:pPr>
          </w:p>
        </w:tc>
        <w:tc>
          <w:tcPr>
            <w:tcW w:w="747" w:type="pct"/>
            <w:noWrap/>
          </w:tcPr>
          <w:p w14:paraId="5176124E">
            <w:pPr>
              <w:adjustRightInd w:val="0"/>
              <w:snapToGrid w:val="0"/>
              <w:spacing w:line="360" w:lineRule="auto"/>
              <w:jc w:val="center"/>
              <w:rPr>
                <w:rFonts w:ascii="宋体" w:hAnsi="宋体" w:eastAsia="宋体" w:cs="宋体"/>
                <w:color w:val="auto"/>
                <w:sz w:val="32"/>
                <w:szCs w:val="21"/>
                <w:highlight w:val="none"/>
              </w:rPr>
            </w:pPr>
          </w:p>
        </w:tc>
      </w:tr>
    </w:tbl>
    <w:p w14:paraId="537D552D">
      <w:pPr>
        <w:spacing w:line="360" w:lineRule="exact"/>
        <w:ind w:firstLine="241" w:firstLineChars="100"/>
        <w:rPr>
          <w:rFonts w:ascii="宋体" w:hAnsi="宋体" w:eastAsia="宋体" w:cs="宋体"/>
          <w:b/>
          <w:color w:val="auto"/>
          <w:sz w:val="24"/>
          <w:highlight w:val="none"/>
        </w:rPr>
      </w:pPr>
    </w:p>
    <w:p w14:paraId="44C7A9A0">
      <w:pPr>
        <w:topLinePunct/>
        <w:adjustRightInd w:val="0"/>
        <w:snapToGrid w:val="0"/>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rPr>
        <w:t>报价金额合计：小写：  大写：</w:t>
      </w:r>
    </w:p>
    <w:p w14:paraId="51242A2F">
      <w:pPr>
        <w:adjustRightInd w:val="0"/>
        <w:snapToGrid w:val="0"/>
        <w:spacing w:line="440" w:lineRule="exact"/>
        <w:ind w:left="-88" w:leftChars="-42"/>
        <w:rPr>
          <w:rFonts w:ascii="宋体" w:hAnsi="宋体" w:eastAsia="宋体" w:cs="宋体"/>
          <w:color w:val="auto"/>
          <w:sz w:val="24"/>
          <w:highlight w:val="none"/>
        </w:rPr>
      </w:pPr>
      <w:r>
        <w:rPr>
          <w:rFonts w:hint="eastAsia" w:ascii="宋体" w:hAnsi="宋体" w:eastAsia="宋体" w:cs="宋体"/>
          <w:color w:val="auto"/>
          <w:sz w:val="24"/>
          <w:highlight w:val="none"/>
        </w:rPr>
        <w:t>说明：</w:t>
      </w:r>
    </w:p>
    <w:p w14:paraId="532A017A">
      <w:pPr>
        <w:spacing w:after="120"/>
        <w:ind w:firstLine="240" w:firstLineChars="100"/>
        <w:rPr>
          <w:rFonts w:ascii="宋体" w:hAnsi="宋体" w:eastAsia="宋体" w:cs="宋体"/>
          <w:color w:val="auto"/>
          <w:sz w:val="24"/>
          <w:highlight w:val="none"/>
        </w:rPr>
      </w:pPr>
      <w:r>
        <w:rPr>
          <w:rFonts w:hint="eastAsia" w:ascii="宋体" w:hAnsi="宋体" w:eastAsia="宋体" w:cs="宋体"/>
          <w:color w:val="auto"/>
          <w:sz w:val="24"/>
          <w:highlight w:val="none"/>
        </w:rPr>
        <w:t>1、本表包含招标文件《采购需求》或其他部分对该项目所有要求的详细报价。“合计”及“报价金额合计”应与附投标承诺汇总表“报价”一致；栏目“单价”为全费用综合包干单价，本包含设备及材料购置、产品运输保险保管、安装调试、通过验收、培训、质保期免费保修维护等所有人工、管理、财务、税金、政策性文件规定及合同包含的所有风险、责任等各项所有应有费用以及投标人认为需要的其它费用等一切费用；并应包含从项目中标起到验收止(含保修期）所发生的一切费用。</w:t>
      </w:r>
    </w:p>
    <w:p w14:paraId="0E0C0B0A">
      <w:pPr>
        <w:adjustRightInd w:val="0"/>
        <w:snapToGrid w:val="0"/>
        <w:spacing w:line="360" w:lineRule="auto"/>
        <w:jc w:val="center"/>
        <w:rPr>
          <w:rFonts w:ascii="宋体" w:hAnsi="宋体" w:eastAsia="宋体" w:cs="宋体"/>
          <w:b/>
          <w:color w:val="auto"/>
          <w:sz w:val="32"/>
          <w:szCs w:val="32"/>
          <w:highlight w:val="none"/>
        </w:rPr>
      </w:pPr>
    </w:p>
    <w:p w14:paraId="1B05822E">
      <w:pPr>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055F3BC0">
      <w:pPr>
        <w:adjustRightInd w:val="0"/>
        <w:snapToGrid w:val="0"/>
        <w:spacing w:line="360" w:lineRule="auto"/>
        <w:jc w:val="center"/>
        <w:rPr>
          <w:rFonts w:ascii="宋体" w:hAnsi="宋体" w:eastAsia="宋体" w:cs="宋体"/>
          <w:b/>
          <w:color w:val="auto"/>
          <w:sz w:val="30"/>
          <w:szCs w:val="30"/>
          <w:highlight w:val="none"/>
        </w:rPr>
      </w:pPr>
      <w:r>
        <w:rPr>
          <w:rFonts w:hint="eastAsia" w:ascii="宋体" w:hAnsi="宋体" w:eastAsia="宋体" w:cs="宋体"/>
          <w:b/>
          <w:color w:val="auto"/>
          <w:sz w:val="32"/>
          <w:szCs w:val="32"/>
          <w:highlight w:val="none"/>
        </w:rPr>
        <w:t>三、货物/</w:t>
      </w:r>
      <w:r>
        <w:rPr>
          <w:rFonts w:hint="eastAsia" w:ascii="宋体" w:hAnsi="宋体" w:eastAsia="宋体" w:cs="宋体"/>
          <w:b/>
          <w:color w:val="auto"/>
          <w:sz w:val="30"/>
          <w:szCs w:val="30"/>
          <w:highlight w:val="none"/>
        </w:rPr>
        <w:t>服务说明</w:t>
      </w:r>
    </w:p>
    <w:p w14:paraId="35113022">
      <w:pPr>
        <w:adjustRightInd w:val="0"/>
        <w:snapToGrid w:val="0"/>
        <w:ind w:left="-88" w:leftChars="-42" w:firstLine="281" w:firstLineChars="100"/>
        <w:jc w:val="center"/>
        <w:rPr>
          <w:rFonts w:ascii="宋体" w:hAnsi="宋体" w:eastAsia="宋体" w:cs="宋体"/>
          <w:b/>
          <w:bCs/>
          <w:color w:val="auto"/>
          <w:sz w:val="28"/>
          <w:szCs w:val="28"/>
          <w:highlight w:val="none"/>
        </w:rPr>
      </w:pPr>
    </w:p>
    <w:p w14:paraId="33971C38">
      <w:pPr>
        <w:adjustRightInd w:val="0"/>
        <w:snapToGrid w:val="0"/>
        <w:ind w:left="-88" w:leftChars="-42" w:firstLine="210" w:firstLineChars="100"/>
        <w:rPr>
          <w:rFonts w:ascii="宋体" w:hAnsi="宋体" w:eastAsia="宋体" w:cs="宋体"/>
          <w:bCs/>
          <w:color w:val="auto"/>
          <w:szCs w:val="21"/>
          <w:highlight w:val="none"/>
        </w:rPr>
      </w:pPr>
    </w:p>
    <w:p w14:paraId="1740549C">
      <w:pPr>
        <w:adjustRightInd w:val="0"/>
        <w:snapToGrid w:val="0"/>
        <w:ind w:left="-88" w:leftChars="-42" w:firstLine="210" w:firstLineChars="100"/>
        <w:rPr>
          <w:rFonts w:ascii="宋体" w:hAnsi="宋体" w:eastAsia="宋体" w:cs="宋体"/>
          <w:color w:val="auto"/>
          <w:szCs w:val="21"/>
          <w:highlight w:val="none"/>
        </w:rPr>
      </w:pPr>
    </w:p>
    <w:p w14:paraId="4CCCBE11">
      <w:pPr>
        <w:adjustRightInd w:val="0"/>
        <w:snapToGrid w:val="0"/>
        <w:ind w:left="-88" w:leftChars="-42"/>
        <w:outlineLvl w:val="0"/>
        <w:rPr>
          <w:rFonts w:ascii="宋体" w:hAnsi="宋体" w:eastAsia="宋体" w:cs="宋体"/>
          <w:bCs/>
          <w:color w:val="auto"/>
          <w:sz w:val="24"/>
          <w:highlight w:val="none"/>
        </w:rPr>
      </w:pPr>
    </w:p>
    <w:p w14:paraId="6A772FAE">
      <w:pPr>
        <w:adjustRightInd w:val="0"/>
        <w:snapToGrid w:val="0"/>
        <w:rPr>
          <w:rFonts w:ascii="宋体" w:hAnsi="宋体" w:eastAsia="宋体" w:cs="宋体"/>
          <w:color w:val="auto"/>
          <w:sz w:val="24"/>
          <w:highlight w:val="none"/>
        </w:rPr>
      </w:pPr>
      <w:r>
        <w:rPr>
          <w:rFonts w:hint="eastAsia" w:ascii="宋体" w:hAnsi="宋体" w:eastAsia="宋体" w:cs="宋体"/>
          <w:color w:val="auto"/>
          <w:sz w:val="24"/>
          <w:highlight w:val="none"/>
        </w:rPr>
        <w:t>投标人应根据采购需求编制货物说明/服务方案或服务大纲。格式自拟。</w:t>
      </w:r>
    </w:p>
    <w:p w14:paraId="7A8DD9EA">
      <w:pPr>
        <w:adjustRightInd w:val="0"/>
        <w:snapToGrid w:val="0"/>
        <w:rPr>
          <w:rFonts w:ascii="宋体" w:hAnsi="宋体" w:eastAsia="宋体" w:cs="宋体"/>
          <w:color w:val="auto"/>
          <w:sz w:val="24"/>
          <w:highlight w:val="none"/>
        </w:rPr>
      </w:pPr>
    </w:p>
    <w:p w14:paraId="6EA9F9DD">
      <w:pPr>
        <w:adjustRightInd w:val="0"/>
        <w:snapToGrid w:val="0"/>
        <w:rPr>
          <w:rFonts w:ascii="宋体" w:hAnsi="宋体" w:eastAsia="宋体" w:cs="宋体"/>
          <w:color w:val="auto"/>
          <w:sz w:val="24"/>
          <w:highlight w:val="none"/>
        </w:rPr>
      </w:pPr>
    </w:p>
    <w:p w14:paraId="48F6A717">
      <w:pPr>
        <w:adjustRightInd w:val="0"/>
        <w:snapToGrid w:val="0"/>
        <w:rPr>
          <w:rFonts w:ascii="宋体" w:hAnsi="宋体" w:eastAsia="宋体" w:cs="宋体"/>
          <w:color w:val="auto"/>
          <w:sz w:val="24"/>
          <w:highlight w:val="none"/>
        </w:rPr>
      </w:pPr>
    </w:p>
    <w:p w14:paraId="142BCD6A">
      <w:pPr>
        <w:adjustRightInd w:val="0"/>
        <w:snapToGrid w:val="0"/>
        <w:spacing w:line="360" w:lineRule="auto"/>
        <w:outlineLvl w:val="0"/>
        <w:rPr>
          <w:rFonts w:ascii="宋体" w:hAnsi="宋体" w:eastAsia="宋体" w:cs="宋体"/>
          <w:bCs/>
          <w:color w:val="auto"/>
          <w:sz w:val="24"/>
          <w:highlight w:val="none"/>
        </w:rPr>
      </w:pPr>
      <w:r>
        <w:rPr>
          <w:rFonts w:hint="eastAsia" w:ascii="宋体" w:hAnsi="宋体" w:eastAsia="宋体" w:cs="宋体"/>
          <w:color w:val="auto"/>
          <w:sz w:val="24"/>
          <w:highlight w:val="none"/>
        </w:rPr>
        <w:t>投标人名称：</w:t>
      </w:r>
    </w:p>
    <w:p w14:paraId="2D9365C7">
      <w:pPr>
        <w:adjustRightInd w:val="0"/>
        <w:snapToGrid w:val="0"/>
        <w:spacing w:line="360" w:lineRule="auto"/>
        <w:outlineLvl w:val="0"/>
        <w:rPr>
          <w:rFonts w:ascii="宋体" w:hAnsi="宋体" w:eastAsia="宋体" w:cs="宋体"/>
          <w:color w:val="auto"/>
          <w:sz w:val="24"/>
          <w:highlight w:val="none"/>
        </w:rPr>
      </w:pPr>
      <w:r>
        <w:rPr>
          <w:rFonts w:hint="eastAsia" w:ascii="宋体" w:hAnsi="宋体" w:eastAsia="宋体" w:cs="宋体"/>
          <w:color w:val="auto"/>
          <w:sz w:val="24"/>
          <w:highlight w:val="none"/>
        </w:rPr>
        <w:t>法定代表人或其委托代理人(签字)：</w:t>
      </w:r>
    </w:p>
    <w:p w14:paraId="6D705FAE">
      <w:pPr>
        <w:spacing w:line="380" w:lineRule="exact"/>
        <w:rPr>
          <w:rFonts w:ascii="宋体" w:hAnsi="宋体" w:eastAsia="宋体" w:cs="宋体"/>
          <w:color w:val="auto"/>
          <w:szCs w:val="21"/>
          <w:highlight w:val="none"/>
        </w:rPr>
      </w:pPr>
      <w:r>
        <w:rPr>
          <w:rFonts w:hint="eastAsia" w:ascii="宋体" w:hAnsi="宋体" w:eastAsia="宋体" w:cs="宋体"/>
          <w:color w:val="auto"/>
          <w:sz w:val="24"/>
          <w:highlight w:val="none"/>
        </w:rPr>
        <w:t>日 期 ：  年  月  日</w:t>
      </w:r>
    </w:p>
    <w:p w14:paraId="357600B5">
      <w:pPr>
        <w:adjustRightInd w:val="0"/>
        <w:snapToGrid w:val="0"/>
        <w:spacing w:line="360" w:lineRule="auto"/>
        <w:outlineLvl w:val="0"/>
        <w:rPr>
          <w:rFonts w:ascii="宋体" w:hAnsi="宋体" w:eastAsia="宋体" w:cs="宋体"/>
          <w:color w:val="auto"/>
          <w:sz w:val="24"/>
          <w:highlight w:val="none"/>
        </w:rPr>
      </w:pPr>
      <w:r>
        <w:rPr>
          <w:rFonts w:hint="eastAsia" w:ascii="宋体" w:hAnsi="宋体" w:eastAsia="宋体" w:cs="宋体"/>
          <w:color w:val="auto"/>
          <w:szCs w:val="21"/>
          <w:highlight w:val="none"/>
        </w:rPr>
        <w:br w:type="page"/>
      </w:r>
    </w:p>
    <w:p w14:paraId="460B5E96">
      <w:pPr>
        <w:adjustRightInd w:val="0"/>
        <w:snapToGrid w:val="0"/>
        <w:spacing w:line="360" w:lineRule="auto"/>
        <w:jc w:val="center"/>
        <w:outlineLvl w:val="0"/>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四、商务/技术响应/偏离表</w:t>
      </w:r>
    </w:p>
    <w:tbl>
      <w:tblPr>
        <w:tblStyle w:val="8"/>
        <w:tblW w:w="9985" w:type="dxa"/>
        <w:jc w:val="center"/>
        <w:tblBorders>
          <w:top w:val="double" w:color="auto" w:sz="4" w:space="0"/>
          <w:left w:val="double" w:color="auto" w:sz="4" w:space="0"/>
          <w:bottom w:val="double" w:color="auto" w:sz="4" w:space="0"/>
          <w:right w:val="double" w:color="auto" w:sz="4" w:space="0"/>
          <w:insideH w:val="none" w:color="auto" w:sz="0" w:space="0"/>
          <w:insideV w:val="none" w:color="auto" w:sz="0" w:space="0"/>
        </w:tblBorders>
        <w:tblLayout w:type="fixed"/>
        <w:tblCellMar>
          <w:top w:w="0" w:type="dxa"/>
          <w:left w:w="28" w:type="dxa"/>
          <w:bottom w:w="0" w:type="dxa"/>
          <w:right w:w="28" w:type="dxa"/>
        </w:tblCellMar>
      </w:tblPr>
      <w:tblGrid>
        <w:gridCol w:w="916"/>
        <w:gridCol w:w="2548"/>
        <w:gridCol w:w="2247"/>
        <w:gridCol w:w="2177"/>
        <w:gridCol w:w="1276"/>
        <w:gridCol w:w="821"/>
      </w:tblGrid>
      <w:tr w14:paraId="65288B1A">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79" w:hRule="atLeast"/>
          <w:jc w:val="center"/>
        </w:trPr>
        <w:tc>
          <w:tcPr>
            <w:tcW w:w="916" w:type="dxa"/>
            <w:tcBorders>
              <w:top w:val="double" w:color="auto" w:sz="4" w:space="0"/>
              <w:left w:val="double" w:color="auto" w:sz="4" w:space="0"/>
              <w:bottom w:val="single" w:color="auto" w:sz="6" w:space="0"/>
              <w:right w:val="single" w:color="auto" w:sz="6" w:space="0"/>
            </w:tcBorders>
            <w:noWrap/>
            <w:vAlign w:val="center"/>
          </w:tcPr>
          <w:p w14:paraId="309E4C2C">
            <w:pPr>
              <w:adjustRightInd w:val="0"/>
              <w:snapToGrid w:val="0"/>
              <w:ind w:left="-88" w:leftChars="-42"/>
              <w:jc w:val="center"/>
              <w:rPr>
                <w:rFonts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2548" w:type="dxa"/>
            <w:tcBorders>
              <w:top w:val="double" w:color="auto" w:sz="4" w:space="0"/>
              <w:left w:val="single" w:color="auto" w:sz="6" w:space="0"/>
              <w:bottom w:val="single" w:color="auto" w:sz="6" w:space="0"/>
              <w:right w:val="single" w:color="auto" w:sz="6" w:space="0"/>
            </w:tcBorders>
            <w:noWrap/>
            <w:vAlign w:val="center"/>
          </w:tcPr>
          <w:p w14:paraId="553BCC61">
            <w:pPr>
              <w:adjustRightInd w:val="0"/>
              <w:snapToGrid w:val="0"/>
              <w:ind w:left="-88" w:leftChars="-42"/>
              <w:jc w:val="center"/>
              <w:rPr>
                <w:rFonts w:ascii="宋体" w:hAnsi="宋体" w:eastAsia="宋体" w:cs="宋体"/>
                <w:color w:val="auto"/>
                <w:sz w:val="24"/>
                <w:highlight w:val="none"/>
              </w:rPr>
            </w:pPr>
            <w:r>
              <w:rPr>
                <w:rFonts w:hint="eastAsia" w:ascii="宋体" w:hAnsi="宋体" w:eastAsia="宋体" w:cs="宋体"/>
                <w:color w:val="auto"/>
                <w:sz w:val="24"/>
                <w:highlight w:val="none"/>
              </w:rPr>
              <w:t>采购文件条目号</w:t>
            </w:r>
          </w:p>
        </w:tc>
        <w:tc>
          <w:tcPr>
            <w:tcW w:w="2247" w:type="dxa"/>
            <w:tcBorders>
              <w:top w:val="double" w:color="auto" w:sz="4" w:space="0"/>
              <w:left w:val="single" w:color="auto" w:sz="6" w:space="0"/>
              <w:bottom w:val="single" w:color="auto" w:sz="6" w:space="0"/>
              <w:right w:val="single" w:color="auto" w:sz="6" w:space="0"/>
            </w:tcBorders>
            <w:noWrap/>
            <w:vAlign w:val="center"/>
          </w:tcPr>
          <w:p w14:paraId="6E5F2391">
            <w:pPr>
              <w:adjustRightInd w:val="0"/>
              <w:snapToGrid w:val="0"/>
              <w:ind w:left="-88" w:leftChars="-42" w:right="-94" w:rightChars="-45"/>
              <w:jc w:val="center"/>
              <w:rPr>
                <w:rFonts w:ascii="宋体" w:hAnsi="宋体" w:eastAsia="宋体" w:cs="宋体"/>
                <w:color w:val="auto"/>
                <w:sz w:val="24"/>
                <w:highlight w:val="none"/>
              </w:rPr>
            </w:pPr>
            <w:r>
              <w:rPr>
                <w:rFonts w:hint="eastAsia" w:ascii="宋体" w:hAnsi="宋体" w:eastAsia="宋体" w:cs="宋体"/>
                <w:color w:val="auto"/>
                <w:sz w:val="24"/>
                <w:highlight w:val="none"/>
              </w:rPr>
              <w:t>采购文件的商务/技术条款</w:t>
            </w:r>
          </w:p>
        </w:tc>
        <w:tc>
          <w:tcPr>
            <w:tcW w:w="2177" w:type="dxa"/>
            <w:tcBorders>
              <w:top w:val="double" w:color="auto" w:sz="4" w:space="0"/>
              <w:left w:val="single" w:color="auto" w:sz="6" w:space="0"/>
              <w:bottom w:val="single" w:color="auto" w:sz="6" w:space="0"/>
              <w:right w:val="single" w:color="auto" w:sz="6" w:space="0"/>
            </w:tcBorders>
            <w:noWrap/>
            <w:vAlign w:val="center"/>
          </w:tcPr>
          <w:p w14:paraId="3CD9BCBB">
            <w:pPr>
              <w:adjustRightInd w:val="0"/>
              <w:snapToGrid w:val="0"/>
              <w:ind w:left="-88" w:leftChars="-42"/>
              <w:jc w:val="center"/>
              <w:rPr>
                <w:rFonts w:ascii="宋体" w:hAnsi="宋体" w:eastAsia="宋体" w:cs="宋体"/>
                <w:color w:val="auto"/>
                <w:sz w:val="24"/>
                <w:highlight w:val="none"/>
              </w:rPr>
            </w:pPr>
            <w:r>
              <w:rPr>
                <w:rFonts w:hint="eastAsia" w:ascii="宋体" w:hAnsi="宋体" w:eastAsia="宋体" w:cs="宋体"/>
                <w:color w:val="auto"/>
                <w:sz w:val="24"/>
                <w:highlight w:val="none"/>
              </w:rPr>
              <w:t>投标文件的商务/技术条款</w:t>
            </w:r>
          </w:p>
        </w:tc>
        <w:tc>
          <w:tcPr>
            <w:tcW w:w="1276" w:type="dxa"/>
            <w:tcBorders>
              <w:top w:val="double" w:color="auto" w:sz="4" w:space="0"/>
              <w:left w:val="single" w:color="auto" w:sz="6" w:space="0"/>
              <w:bottom w:val="single" w:color="auto" w:sz="6" w:space="0"/>
              <w:right w:val="single" w:color="auto" w:sz="6" w:space="0"/>
            </w:tcBorders>
            <w:noWrap/>
            <w:vAlign w:val="center"/>
          </w:tcPr>
          <w:p w14:paraId="5EFD634B">
            <w:pPr>
              <w:adjustRightInd w:val="0"/>
              <w:snapToGrid w:val="0"/>
              <w:ind w:left="-88" w:leftChars="-42"/>
              <w:jc w:val="center"/>
              <w:rPr>
                <w:rFonts w:ascii="宋体" w:hAnsi="宋体" w:eastAsia="宋体" w:cs="宋体"/>
                <w:color w:val="auto"/>
                <w:sz w:val="24"/>
                <w:highlight w:val="none"/>
              </w:rPr>
            </w:pPr>
            <w:r>
              <w:rPr>
                <w:rFonts w:hint="eastAsia" w:ascii="宋体" w:hAnsi="宋体" w:eastAsia="宋体" w:cs="宋体"/>
                <w:color w:val="auto"/>
                <w:sz w:val="24"/>
                <w:highlight w:val="none"/>
              </w:rPr>
              <w:t>响应与偏离</w:t>
            </w:r>
          </w:p>
        </w:tc>
        <w:tc>
          <w:tcPr>
            <w:tcW w:w="821" w:type="dxa"/>
            <w:tcBorders>
              <w:top w:val="double" w:color="auto" w:sz="4" w:space="0"/>
              <w:left w:val="single" w:color="auto" w:sz="6" w:space="0"/>
              <w:bottom w:val="single" w:color="auto" w:sz="6" w:space="0"/>
              <w:right w:val="double" w:color="auto" w:sz="4" w:space="0"/>
            </w:tcBorders>
            <w:noWrap/>
            <w:vAlign w:val="center"/>
          </w:tcPr>
          <w:p w14:paraId="1DD14C9E">
            <w:pPr>
              <w:adjustRightInd w:val="0"/>
              <w:snapToGrid w:val="0"/>
              <w:ind w:left="-88" w:leftChars="-42"/>
              <w:jc w:val="center"/>
              <w:rPr>
                <w:rFonts w:ascii="宋体" w:hAnsi="宋体" w:eastAsia="宋体" w:cs="宋体"/>
                <w:color w:val="auto"/>
                <w:sz w:val="24"/>
                <w:highlight w:val="none"/>
              </w:rPr>
            </w:pPr>
            <w:r>
              <w:rPr>
                <w:rFonts w:hint="eastAsia" w:ascii="宋体" w:hAnsi="宋体" w:eastAsia="宋体" w:cs="宋体"/>
                <w:color w:val="auto"/>
                <w:sz w:val="24"/>
                <w:highlight w:val="none"/>
              </w:rPr>
              <w:t>说明</w:t>
            </w:r>
          </w:p>
        </w:tc>
      </w:tr>
      <w:tr w14:paraId="29803C26">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ign w:val="center"/>
          </w:tcPr>
          <w:p w14:paraId="70AC0D32">
            <w:pPr>
              <w:adjustRightInd w:val="0"/>
              <w:snapToGrid w:val="0"/>
              <w:jc w:val="center"/>
              <w:rPr>
                <w:rFonts w:ascii="宋体" w:hAnsi="宋体" w:eastAsia="宋体" w:cs="宋体"/>
                <w:color w:val="auto"/>
                <w:sz w:val="24"/>
                <w:highlight w:val="none"/>
              </w:rPr>
            </w:pPr>
          </w:p>
        </w:tc>
        <w:tc>
          <w:tcPr>
            <w:tcW w:w="2548" w:type="dxa"/>
            <w:tcBorders>
              <w:top w:val="single" w:color="auto" w:sz="6" w:space="0"/>
              <w:left w:val="single" w:color="auto" w:sz="6" w:space="0"/>
              <w:bottom w:val="single" w:color="auto" w:sz="6" w:space="0"/>
              <w:right w:val="single" w:color="auto" w:sz="6" w:space="0"/>
            </w:tcBorders>
            <w:noWrap/>
            <w:vAlign w:val="center"/>
          </w:tcPr>
          <w:p w14:paraId="05B1AA47">
            <w:pPr>
              <w:adjustRightInd w:val="0"/>
              <w:snapToGrid w:val="0"/>
              <w:ind w:left="-88" w:leftChars="-42"/>
              <w:jc w:val="center"/>
              <w:rPr>
                <w:rFonts w:ascii="宋体" w:hAnsi="宋体" w:eastAsia="宋体" w:cs="宋体"/>
                <w:color w:val="auto"/>
                <w:sz w:val="24"/>
                <w:highlight w:val="none"/>
              </w:rPr>
            </w:pPr>
          </w:p>
        </w:tc>
        <w:tc>
          <w:tcPr>
            <w:tcW w:w="2247" w:type="dxa"/>
            <w:tcBorders>
              <w:top w:val="single" w:color="auto" w:sz="6" w:space="0"/>
              <w:left w:val="single" w:color="auto" w:sz="6" w:space="0"/>
              <w:bottom w:val="single" w:color="auto" w:sz="6" w:space="0"/>
              <w:right w:val="single" w:color="auto" w:sz="6" w:space="0"/>
            </w:tcBorders>
            <w:noWrap/>
            <w:vAlign w:val="center"/>
          </w:tcPr>
          <w:p w14:paraId="51C32004">
            <w:pPr>
              <w:adjustRightInd w:val="0"/>
              <w:snapToGrid w:val="0"/>
              <w:ind w:left="-88" w:leftChars="-42"/>
              <w:jc w:val="center"/>
              <w:rPr>
                <w:rFonts w:ascii="宋体" w:hAnsi="宋体" w:eastAsia="宋体" w:cs="宋体"/>
                <w:color w:val="auto"/>
                <w:sz w:val="24"/>
                <w:highlight w:val="none"/>
              </w:rPr>
            </w:pPr>
          </w:p>
        </w:tc>
        <w:tc>
          <w:tcPr>
            <w:tcW w:w="2177" w:type="dxa"/>
            <w:tcBorders>
              <w:top w:val="single" w:color="auto" w:sz="6" w:space="0"/>
              <w:left w:val="single" w:color="auto" w:sz="6" w:space="0"/>
              <w:bottom w:val="single" w:color="auto" w:sz="6" w:space="0"/>
              <w:right w:val="single" w:color="auto" w:sz="6" w:space="0"/>
            </w:tcBorders>
            <w:noWrap/>
            <w:vAlign w:val="center"/>
          </w:tcPr>
          <w:p w14:paraId="67E87AA7">
            <w:pPr>
              <w:adjustRightInd w:val="0"/>
              <w:snapToGrid w:val="0"/>
              <w:ind w:left="-88" w:leftChars="-42"/>
              <w:jc w:val="center"/>
              <w:rPr>
                <w:rFonts w:ascii="宋体" w:hAnsi="宋体" w:eastAsia="宋体" w:cs="宋体"/>
                <w:color w:val="auto"/>
                <w:sz w:val="24"/>
                <w:highlight w:val="none"/>
              </w:rPr>
            </w:pPr>
          </w:p>
        </w:tc>
        <w:tc>
          <w:tcPr>
            <w:tcW w:w="1276" w:type="dxa"/>
            <w:tcBorders>
              <w:top w:val="single" w:color="auto" w:sz="6" w:space="0"/>
              <w:left w:val="single" w:color="auto" w:sz="6" w:space="0"/>
              <w:bottom w:val="single" w:color="auto" w:sz="6" w:space="0"/>
              <w:right w:val="single" w:color="auto" w:sz="6" w:space="0"/>
            </w:tcBorders>
            <w:noWrap/>
            <w:vAlign w:val="center"/>
          </w:tcPr>
          <w:p w14:paraId="61DF6238">
            <w:pPr>
              <w:adjustRightInd w:val="0"/>
              <w:snapToGrid w:val="0"/>
              <w:ind w:left="-88" w:leftChars="-42"/>
              <w:jc w:val="center"/>
              <w:rPr>
                <w:rFonts w:ascii="宋体" w:hAnsi="宋体" w:eastAsia="宋体" w:cs="宋体"/>
                <w:color w:val="auto"/>
                <w:sz w:val="24"/>
                <w:highlight w:val="none"/>
              </w:rPr>
            </w:pPr>
          </w:p>
        </w:tc>
        <w:tc>
          <w:tcPr>
            <w:tcW w:w="821" w:type="dxa"/>
            <w:tcBorders>
              <w:top w:val="single" w:color="auto" w:sz="6" w:space="0"/>
              <w:left w:val="single" w:color="auto" w:sz="6" w:space="0"/>
              <w:bottom w:val="single" w:color="auto" w:sz="6" w:space="0"/>
              <w:right w:val="double" w:color="auto" w:sz="4" w:space="0"/>
            </w:tcBorders>
            <w:noWrap/>
            <w:vAlign w:val="center"/>
          </w:tcPr>
          <w:p w14:paraId="336D41AE">
            <w:pPr>
              <w:adjustRightInd w:val="0"/>
              <w:snapToGrid w:val="0"/>
              <w:ind w:left="-88" w:leftChars="-42"/>
              <w:jc w:val="center"/>
              <w:rPr>
                <w:rFonts w:ascii="宋体" w:hAnsi="宋体" w:eastAsia="宋体" w:cs="宋体"/>
                <w:color w:val="auto"/>
                <w:sz w:val="24"/>
                <w:highlight w:val="none"/>
              </w:rPr>
            </w:pPr>
          </w:p>
        </w:tc>
      </w:tr>
      <w:tr w14:paraId="17E5A0ED">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ign w:val="center"/>
          </w:tcPr>
          <w:p w14:paraId="63168576">
            <w:pPr>
              <w:adjustRightInd w:val="0"/>
              <w:snapToGrid w:val="0"/>
              <w:jc w:val="center"/>
              <w:rPr>
                <w:rFonts w:ascii="宋体" w:hAnsi="宋体" w:eastAsia="宋体" w:cs="宋体"/>
                <w:color w:val="auto"/>
                <w:sz w:val="24"/>
                <w:highlight w:val="none"/>
              </w:rPr>
            </w:pPr>
          </w:p>
        </w:tc>
        <w:tc>
          <w:tcPr>
            <w:tcW w:w="2548" w:type="dxa"/>
            <w:tcBorders>
              <w:top w:val="single" w:color="auto" w:sz="6" w:space="0"/>
              <w:left w:val="single" w:color="auto" w:sz="6" w:space="0"/>
              <w:bottom w:val="single" w:color="auto" w:sz="6" w:space="0"/>
              <w:right w:val="single" w:color="auto" w:sz="6" w:space="0"/>
            </w:tcBorders>
            <w:noWrap/>
            <w:vAlign w:val="center"/>
          </w:tcPr>
          <w:p w14:paraId="5C426B74">
            <w:pPr>
              <w:adjustRightInd w:val="0"/>
              <w:snapToGrid w:val="0"/>
              <w:ind w:left="-88" w:leftChars="-42"/>
              <w:jc w:val="center"/>
              <w:rPr>
                <w:rFonts w:ascii="宋体" w:hAnsi="宋体" w:eastAsia="宋体" w:cs="宋体"/>
                <w:color w:val="auto"/>
                <w:sz w:val="24"/>
                <w:highlight w:val="none"/>
              </w:rPr>
            </w:pPr>
          </w:p>
        </w:tc>
        <w:tc>
          <w:tcPr>
            <w:tcW w:w="2247" w:type="dxa"/>
            <w:tcBorders>
              <w:top w:val="single" w:color="auto" w:sz="6" w:space="0"/>
              <w:left w:val="single" w:color="auto" w:sz="6" w:space="0"/>
              <w:bottom w:val="single" w:color="auto" w:sz="6" w:space="0"/>
              <w:right w:val="single" w:color="auto" w:sz="6" w:space="0"/>
            </w:tcBorders>
            <w:noWrap/>
            <w:vAlign w:val="center"/>
          </w:tcPr>
          <w:p w14:paraId="6BC11A82">
            <w:pPr>
              <w:adjustRightInd w:val="0"/>
              <w:snapToGrid w:val="0"/>
              <w:ind w:left="-88" w:leftChars="-42"/>
              <w:jc w:val="center"/>
              <w:rPr>
                <w:rFonts w:ascii="宋体" w:hAnsi="宋体" w:eastAsia="宋体" w:cs="宋体"/>
                <w:color w:val="auto"/>
                <w:sz w:val="24"/>
                <w:highlight w:val="none"/>
              </w:rPr>
            </w:pPr>
          </w:p>
        </w:tc>
        <w:tc>
          <w:tcPr>
            <w:tcW w:w="2177" w:type="dxa"/>
            <w:tcBorders>
              <w:top w:val="single" w:color="auto" w:sz="6" w:space="0"/>
              <w:left w:val="single" w:color="auto" w:sz="6" w:space="0"/>
              <w:bottom w:val="single" w:color="auto" w:sz="6" w:space="0"/>
              <w:right w:val="single" w:color="auto" w:sz="6" w:space="0"/>
            </w:tcBorders>
            <w:noWrap/>
            <w:vAlign w:val="center"/>
          </w:tcPr>
          <w:p w14:paraId="68C8394A">
            <w:pPr>
              <w:adjustRightInd w:val="0"/>
              <w:snapToGrid w:val="0"/>
              <w:ind w:left="-88" w:leftChars="-42"/>
              <w:jc w:val="center"/>
              <w:rPr>
                <w:rFonts w:ascii="宋体" w:hAnsi="宋体" w:eastAsia="宋体" w:cs="宋体"/>
                <w:color w:val="auto"/>
                <w:sz w:val="24"/>
                <w:highlight w:val="none"/>
              </w:rPr>
            </w:pPr>
          </w:p>
        </w:tc>
        <w:tc>
          <w:tcPr>
            <w:tcW w:w="1276" w:type="dxa"/>
            <w:tcBorders>
              <w:top w:val="single" w:color="auto" w:sz="6" w:space="0"/>
              <w:left w:val="single" w:color="auto" w:sz="6" w:space="0"/>
              <w:bottom w:val="single" w:color="auto" w:sz="6" w:space="0"/>
              <w:right w:val="single" w:color="auto" w:sz="6" w:space="0"/>
            </w:tcBorders>
            <w:noWrap/>
            <w:vAlign w:val="center"/>
          </w:tcPr>
          <w:p w14:paraId="08575F7D">
            <w:pPr>
              <w:adjustRightInd w:val="0"/>
              <w:snapToGrid w:val="0"/>
              <w:ind w:left="-88" w:leftChars="-42"/>
              <w:jc w:val="center"/>
              <w:rPr>
                <w:rFonts w:ascii="宋体" w:hAnsi="宋体" w:eastAsia="宋体" w:cs="宋体"/>
                <w:color w:val="auto"/>
                <w:sz w:val="24"/>
                <w:highlight w:val="none"/>
              </w:rPr>
            </w:pPr>
          </w:p>
        </w:tc>
        <w:tc>
          <w:tcPr>
            <w:tcW w:w="821" w:type="dxa"/>
            <w:tcBorders>
              <w:top w:val="single" w:color="auto" w:sz="6" w:space="0"/>
              <w:left w:val="single" w:color="auto" w:sz="6" w:space="0"/>
              <w:bottom w:val="single" w:color="auto" w:sz="6" w:space="0"/>
              <w:right w:val="double" w:color="auto" w:sz="4" w:space="0"/>
            </w:tcBorders>
            <w:noWrap/>
            <w:vAlign w:val="center"/>
          </w:tcPr>
          <w:p w14:paraId="1FE798E9">
            <w:pPr>
              <w:adjustRightInd w:val="0"/>
              <w:snapToGrid w:val="0"/>
              <w:ind w:left="-88" w:leftChars="-42"/>
              <w:jc w:val="center"/>
              <w:rPr>
                <w:rFonts w:ascii="宋体" w:hAnsi="宋体" w:eastAsia="宋体" w:cs="宋体"/>
                <w:color w:val="auto"/>
                <w:sz w:val="24"/>
                <w:highlight w:val="none"/>
              </w:rPr>
            </w:pPr>
          </w:p>
        </w:tc>
      </w:tr>
      <w:tr w14:paraId="224F0678">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ign w:val="center"/>
          </w:tcPr>
          <w:p w14:paraId="342E1B52">
            <w:pPr>
              <w:adjustRightInd w:val="0"/>
              <w:snapToGrid w:val="0"/>
              <w:ind w:left="-88" w:leftChars="-42"/>
              <w:jc w:val="center"/>
              <w:rPr>
                <w:rFonts w:ascii="宋体" w:hAnsi="宋体" w:eastAsia="宋体" w:cs="宋体"/>
                <w:color w:val="auto"/>
                <w:sz w:val="24"/>
                <w:highlight w:val="none"/>
              </w:rPr>
            </w:pPr>
          </w:p>
        </w:tc>
        <w:tc>
          <w:tcPr>
            <w:tcW w:w="2548" w:type="dxa"/>
            <w:tcBorders>
              <w:top w:val="single" w:color="auto" w:sz="6" w:space="0"/>
              <w:left w:val="single" w:color="auto" w:sz="6" w:space="0"/>
              <w:bottom w:val="single" w:color="auto" w:sz="6" w:space="0"/>
              <w:right w:val="single" w:color="auto" w:sz="6" w:space="0"/>
            </w:tcBorders>
            <w:noWrap/>
            <w:vAlign w:val="center"/>
          </w:tcPr>
          <w:p w14:paraId="728A73A4">
            <w:pPr>
              <w:adjustRightInd w:val="0"/>
              <w:snapToGrid w:val="0"/>
              <w:ind w:left="-88" w:leftChars="-42"/>
              <w:jc w:val="center"/>
              <w:rPr>
                <w:rFonts w:ascii="宋体" w:hAnsi="宋体" w:eastAsia="宋体" w:cs="宋体"/>
                <w:color w:val="auto"/>
                <w:sz w:val="24"/>
                <w:highlight w:val="none"/>
              </w:rPr>
            </w:pPr>
          </w:p>
        </w:tc>
        <w:tc>
          <w:tcPr>
            <w:tcW w:w="2247" w:type="dxa"/>
            <w:tcBorders>
              <w:top w:val="single" w:color="auto" w:sz="6" w:space="0"/>
              <w:left w:val="single" w:color="auto" w:sz="6" w:space="0"/>
              <w:bottom w:val="single" w:color="auto" w:sz="6" w:space="0"/>
              <w:right w:val="single" w:color="auto" w:sz="6" w:space="0"/>
            </w:tcBorders>
            <w:noWrap/>
            <w:vAlign w:val="center"/>
          </w:tcPr>
          <w:p w14:paraId="47C2BC4A">
            <w:pPr>
              <w:adjustRightInd w:val="0"/>
              <w:snapToGrid w:val="0"/>
              <w:ind w:left="-88" w:leftChars="-42"/>
              <w:jc w:val="center"/>
              <w:rPr>
                <w:rFonts w:ascii="宋体" w:hAnsi="宋体" w:eastAsia="宋体" w:cs="宋体"/>
                <w:color w:val="auto"/>
                <w:sz w:val="24"/>
                <w:highlight w:val="none"/>
              </w:rPr>
            </w:pPr>
          </w:p>
        </w:tc>
        <w:tc>
          <w:tcPr>
            <w:tcW w:w="2177" w:type="dxa"/>
            <w:tcBorders>
              <w:top w:val="single" w:color="auto" w:sz="6" w:space="0"/>
              <w:left w:val="single" w:color="auto" w:sz="6" w:space="0"/>
              <w:bottom w:val="single" w:color="auto" w:sz="6" w:space="0"/>
              <w:right w:val="single" w:color="auto" w:sz="6" w:space="0"/>
            </w:tcBorders>
            <w:noWrap/>
            <w:vAlign w:val="center"/>
          </w:tcPr>
          <w:p w14:paraId="57C53655">
            <w:pPr>
              <w:adjustRightInd w:val="0"/>
              <w:snapToGrid w:val="0"/>
              <w:ind w:left="-88" w:leftChars="-42"/>
              <w:jc w:val="center"/>
              <w:rPr>
                <w:rFonts w:ascii="宋体" w:hAnsi="宋体" w:eastAsia="宋体" w:cs="宋体"/>
                <w:color w:val="auto"/>
                <w:sz w:val="24"/>
                <w:highlight w:val="none"/>
              </w:rPr>
            </w:pPr>
          </w:p>
        </w:tc>
        <w:tc>
          <w:tcPr>
            <w:tcW w:w="1276" w:type="dxa"/>
            <w:tcBorders>
              <w:top w:val="single" w:color="auto" w:sz="6" w:space="0"/>
              <w:left w:val="single" w:color="auto" w:sz="6" w:space="0"/>
              <w:bottom w:val="single" w:color="auto" w:sz="6" w:space="0"/>
              <w:right w:val="single" w:color="auto" w:sz="6" w:space="0"/>
            </w:tcBorders>
            <w:noWrap/>
            <w:vAlign w:val="center"/>
          </w:tcPr>
          <w:p w14:paraId="59CFAF9E">
            <w:pPr>
              <w:adjustRightInd w:val="0"/>
              <w:snapToGrid w:val="0"/>
              <w:ind w:left="-88" w:leftChars="-42"/>
              <w:jc w:val="center"/>
              <w:rPr>
                <w:rFonts w:ascii="宋体" w:hAnsi="宋体" w:eastAsia="宋体" w:cs="宋体"/>
                <w:color w:val="auto"/>
                <w:sz w:val="24"/>
                <w:highlight w:val="none"/>
              </w:rPr>
            </w:pPr>
          </w:p>
        </w:tc>
        <w:tc>
          <w:tcPr>
            <w:tcW w:w="821" w:type="dxa"/>
            <w:tcBorders>
              <w:top w:val="single" w:color="auto" w:sz="6" w:space="0"/>
              <w:left w:val="single" w:color="auto" w:sz="6" w:space="0"/>
              <w:bottom w:val="single" w:color="auto" w:sz="6" w:space="0"/>
              <w:right w:val="double" w:color="auto" w:sz="4" w:space="0"/>
            </w:tcBorders>
            <w:noWrap/>
            <w:vAlign w:val="center"/>
          </w:tcPr>
          <w:p w14:paraId="0C3AC88A">
            <w:pPr>
              <w:adjustRightInd w:val="0"/>
              <w:snapToGrid w:val="0"/>
              <w:ind w:left="-88" w:leftChars="-42"/>
              <w:jc w:val="center"/>
              <w:rPr>
                <w:rFonts w:ascii="宋体" w:hAnsi="宋体" w:eastAsia="宋体" w:cs="宋体"/>
                <w:color w:val="auto"/>
                <w:sz w:val="24"/>
                <w:highlight w:val="none"/>
              </w:rPr>
            </w:pPr>
          </w:p>
        </w:tc>
      </w:tr>
      <w:tr w14:paraId="320AC379">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79" w:hRule="atLeast"/>
          <w:jc w:val="center"/>
        </w:trPr>
        <w:tc>
          <w:tcPr>
            <w:tcW w:w="916" w:type="dxa"/>
            <w:tcBorders>
              <w:top w:val="single" w:color="auto" w:sz="6" w:space="0"/>
              <w:left w:val="double" w:color="auto" w:sz="4" w:space="0"/>
              <w:bottom w:val="single" w:color="auto" w:sz="6" w:space="0"/>
              <w:right w:val="single" w:color="auto" w:sz="6" w:space="0"/>
            </w:tcBorders>
            <w:noWrap/>
            <w:vAlign w:val="center"/>
          </w:tcPr>
          <w:p w14:paraId="790F47AA">
            <w:pPr>
              <w:adjustRightInd w:val="0"/>
              <w:snapToGrid w:val="0"/>
              <w:ind w:left="-88" w:leftChars="-42"/>
              <w:jc w:val="center"/>
              <w:rPr>
                <w:rFonts w:ascii="宋体" w:hAnsi="宋体" w:eastAsia="宋体" w:cs="宋体"/>
                <w:color w:val="auto"/>
                <w:sz w:val="24"/>
                <w:highlight w:val="none"/>
              </w:rPr>
            </w:pPr>
          </w:p>
        </w:tc>
        <w:tc>
          <w:tcPr>
            <w:tcW w:w="2548" w:type="dxa"/>
            <w:tcBorders>
              <w:top w:val="single" w:color="auto" w:sz="6" w:space="0"/>
              <w:left w:val="single" w:color="auto" w:sz="6" w:space="0"/>
              <w:bottom w:val="single" w:color="auto" w:sz="6" w:space="0"/>
              <w:right w:val="single" w:color="auto" w:sz="6" w:space="0"/>
            </w:tcBorders>
            <w:noWrap/>
            <w:vAlign w:val="center"/>
          </w:tcPr>
          <w:p w14:paraId="14CF0F1D">
            <w:pPr>
              <w:adjustRightInd w:val="0"/>
              <w:snapToGrid w:val="0"/>
              <w:ind w:left="-88" w:leftChars="-42"/>
              <w:jc w:val="center"/>
              <w:rPr>
                <w:rFonts w:ascii="宋体" w:hAnsi="宋体" w:eastAsia="宋体" w:cs="宋体"/>
                <w:color w:val="auto"/>
                <w:sz w:val="24"/>
                <w:highlight w:val="none"/>
              </w:rPr>
            </w:pPr>
          </w:p>
        </w:tc>
        <w:tc>
          <w:tcPr>
            <w:tcW w:w="2247" w:type="dxa"/>
            <w:tcBorders>
              <w:top w:val="single" w:color="auto" w:sz="6" w:space="0"/>
              <w:left w:val="single" w:color="auto" w:sz="6" w:space="0"/>
              <w:bottom w:val="single" w:color="auto" w:sz="6" w:space="0"/>
              <w:right w:val="single" w:color="auto" w:sz="6" w:space="0"/>
            </w:tcBorders>
            <w:noWrap/>
            <w:vAlign w:val="center"/>
          </w:tcPr>
          <w:p w14:paraId="4D1038A3">
            <w:pPr>
              <w:adjustRightInd w:val="0"/>
              <w:snapToGrid w:val="0"/>
              <w:ind w:left="-88" w:leftChars="-42"/>
              <w:jc w:val="center"/>
              <w:rPr>
                <w:rFonts w:ascii="宋体" w:hAnsi="宋体" w:eastAsia="宋体" w:cs="宋体"/>
                <w:color w:val="auto"/>
                <w:sz w:val="24"/>
                <w:highlight w:val="none"/>
              </w:rPr>
            </w:pPr>
          </w:p>
        </w:tc>
        <w:tc>
          <w:tcPr>
            <w:tcW w:w="2177" w:type="dxa"/>
            <w:tcBorders>
              <w:top w:val="single" w:color="auto" w:sz="6" w:space="0"/>
              <w:left w:val="single" w:color="auto" w:sz="6" w:space="0"/>
              <w:bottom w:val="single" w:color="auto" w:sz="6" w:space="0"/>
              <w:right w:val="single" w:color="auto" w:sz="6" w:space="0"/>
            </w:tcBorders>
            <w:noWrap/>
            <w:vAlign w:val="center"/>
          </w:tcPr>
          <w:p w14:paraId="39709784">
            <w:pPr>
              <w:adjustRightInd w:val="0"/>
              <w:snapToGrid w:val="0"/>
              <w:ind w:left="-88" w:leftChars="-42"/>
              <w:jc w:val="center"/>
              <w:rPr>
                <w:rFonts w:ascii="宋体" w:hAnsi="宋体" w:eastAsia="宋体" w:cs="宋体"/>
                <w:color w:val="auto"/>
                <w:sz w:val="24"/>
                <w:highlight w:val="none"/>
              </w:rPr>
            </w:pPr>
          </w:p>
        </w:tc>
        <w:tc>
          <w:tcPr>
            <w:tcW w:w="1276" w:type="dxa"/>
            <w:tcBorders>
              <w:top w:val="single" w:color="auto" w:sz="6" w:space="0"/>
              <w:left w:val="single" w:color="auto" w:sz="6" w:space="0"/>
              <w:bottom w:val="single" w:color="auto" w:sz="6" w:space="0"/>
              <w:right w:val="single" w:color="auto" w:sz="6" w:space="0"/>
            </w:tcBorders>
            <w:noWrap/>
            <w:vAlign w:val="center"/>
          </w:tcPr>
          <w:p w14:paraId="347DE157">
            <w:pPr>
              <w:adjustRightInd w:val="0"/>
              <w:snapToGrid w:val="0"/>
              <w:ind w:left="-88" w:leftChars="-42"/>
              <w:jc w:val="center"/>
              <w:rPr>
                <w:rFonts w:ascii="宋体" w:hAnsi="宋体" w:eastAsia="宋体" w:cs="宋体"/>
                <w:color w:val="auto"/>
                <w:sz w:val="24"/>
                <w:highlight w:val="none"/>
              </w:rPr>
            </w:pPr>
          </w:p>
        </w:tc>
        <w:tc>
          <w:tcPr>
            <w:tcW w:w="821" w:type="dxa"/>
            <w:tcBorders>
              <w:top w:val="single" w:color="auto" w:sz="6" w:space="0"/>
              <w:left w:val="single" w:color="auto" w:sz="6" w:space="0"/>
              <w:bottom w:val="single" w:color="auto" w:sz="6" w:space="0"/>
              <w:right w:val="double" w:color="auto" w:sz="4" w:space="0"/>
            </w:tcBorders>
            <w:noWrap/>
            <w:vAlign w:val="center"/>
          </w:tcPr>
          <w:p w14:paraId="29CA4EF0">
            <w:pPr>
              <w:adjustRightInd w:val="0"/>
              <w:snapToGrid w:val="0"/>
              <w:ind w:left="-88" w:leftChars="-42"/>
              <w:jc w:val="center"/>
              <w:rPr>
                <w:rFonts w:ascii="宋体" w:hAnsi="宋体" w:eastAsia="宋体" w:cs="宋体"/>
                <w:color w:val="auto"/>
                <w:sz w:val="24"/>
                <w:highlight w:val="none"/>
              </w:rPr>
            </w:pPr>
          </w:p>
        </w:tc>
      </w:tr>
      <w:tr w14:paraId="67E32644">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single" w:color="auto" w:sz="6" w:space="0"/>
              <w:right w:val="single" w:color="auto" w:sz="6" w:space="0"/>
            </w:tcBorders>
            <w:noWrap/>
            <w:vAlign w:val="center"/>
          </w:tcPr>
          <w:p w14:paraId="644FABC2">
            <w:pPr>
              <w:adjustRightInd w:val="0"/>
              <w:snapToGrid w:val="0"/>
              <w:ind w:left="-88" w:leftChars="-42"/>
              <w:jc w:val="center"/>
              <w:rPr>
                <w:rFonts w:ascii="宋体" w:hAnsi="宋体" w:eastAsia="宋体" w:cs="宋体"/>
                <w:color w:val="auto"/>
                <w:sz w:val="24"/>
                <w:highlight w:val="none"/>
              </w:rPr>
            </w:pPr>
          </w:p>
        </w:tc>
        <w:tc>
          <w:tcPr>
            <w:tcW w:w="2548" w:type="dxa"/>
            <w:tcBorders>
              <w:top w:val="single" w:color="auto" w:sz="6" w:space="0"/>
              <w:left w:val="single" w:color="auto" w:sz="6" w:space="0"/>
              <w:bottom w:val="single" w:color="auto" w:sz="6" w:space="0"/>
              <w:right w:val="single" w:color="auto" w:sz="6" w:space="0"/>
            </w:tcBorders>
            <w:noWrap/>
            <w:vAlign w:val="center"/>
          </w:tcPr>
          <w:p w14:paraId="5C9BE263">
            <w:pPr>
              <w:adjustRightInd w:val="0"/>
              <w:snapToGrid w:val="0"/>
              <w:ind w:left="-88" w:leftChars="-42"/>
              <w:jc w:val="center"/>
              <w:rPr>
                <w:rFonts w:ascii="宋体" w:hAnsi="宋体" w:eastAsia="宋体" w:cs="宋体"/>
                <w:color w:val="auto"/>
                <w:sz w:val="24"/>
                <w:highlight w:val="none"/>
              </w:rPr>
            </w:pPr>
          </w:p>
        </w:tc>
        <w:tc>
          <w:tcPr>
            <w:tcW w:w="2247" w:type="dxa"/>
            <w:tcBorders>
              <w:top w:val="single" w:color="auto" w:sz="6" w:space="0"/>
              <w:left w:val="single" w:color="auto" w:sz="6" w:space="0"/>
              <w:bottom w:val="single" w:color="auto" w:sz="6" w:space="0"/>
              <w:right w:val="single" w:color="auto" w:sz="6" w:space="0"/>
            </w:tcBorders>
            <w:noWrap/>
            <w:vAlign w:val="center"/>
          </w:tcPr>
          <w:p w14:paraId="669EA7F6">
            <w:pPr>
              <w:adjustRightInd w:val="0"/>
              <w:snapToGrid w:val="0"/>
              <w:ind w:left="-88" w:leftChars="-42"/>
              <w:jc w:val="center"/>
              <w:rPr>
                <w:rFonts w:ascii="宋体" w:hAnsi="宋体" w:eastAsia="宋体" w:cs="宋体"/>
                <w:color w:val="auto"/>
                <w:sz w:val="24"/>
                <w:highlight w:val="none"/>
              </w:rPr>
            </w:pPr>
          </w:p>
        </w:tc>
        <w:tc>
          <w:tcPr>
            <w:tcW w:w="2177" w:type="dxa"/>
            <w:tcBorders>
              <w:top w:val="single" w:color="auto" w:sz="6" w:space="0"/>
              <w:left w:val="single" w:color="auto" w:sz="6" w:space="0"/>
              <w:bottom w:val="single" w:color="auto" w:sz="6" w:space="0"/>
              <w:right w:val="single" w:color="auto" w:sz="6" w:space="0"/>
            </w:tcBorders>
            <w:noWrap/>
            <w:vAlign w:val="center"/>
          </w:tcPr>
          <w:p w14:paraId="10DED267">
            <w:pPr>
              <w:adjustRightInd w:val="0"/>
              <w:snapToGrid w:val="0"/>
              <w:ind w:left="-88" w:leftChars="-42"/>
              <w:jc w:val="center"/>
              <w:rPr>
                <w:rFonts w:ascii="宋体" w:hAnsi="宋体" w:eastAsia="宋体" w:cs="宋体"/>
                <w:color w:val="auto"/>
                <w:sz w:val="24"/>
                <w:highlight w:val="none"/>
              </w:rPr>
            </w:pPr>
          </w:p>
        </w:tc>
        <w:tc>
          <w:tcPr>
            <w:tcW w:w="1276" w:type="dxa"/>
            <w:tcBorders>
              <w:top w:val="single" w:color="auto" w:sz="6" w:space="0"/>
              <w:left w:val="single" w:color="auto" w:sz="6" w:space="0"/>
              <w:bottom w:val="single" w:color="auto" w:sz="6" w:space="0"/>
              <w:right w:val="single" w:color="auto" w:sz="6" w:space="0"/>
            </w:tcBorders>
            <w:noWrap/>
            <w:vAlign w:val="center"/>
          </w:tcPr>
          <w:p w14:paraId="42A10E5A">
            <w:pPr>
              <w:adjustRightInd w:val="0"/>
              <w:snapToGrid w:val="0"/>
              <w:ind w:left="-88" w:leftChars="-42"/>
              <w:jc w:val="center"/>
              <w:rPr>
                <w:rFonts w:ascii="宋体" w:hAnsi="宋体" w:eastAsia="宋体" w:cs="宋体"/>
                <w:color w:val="auto"/>
                <w:sz w:val="24"/>
                <w:highlight w:val="none"/>
              </w:rPr>
            </w:pPr>
          </w:p>
        </w:tc>
        <w:tc>
          <w:tcPr>
            <w:tcW w:w="821" w:type="dxa"/>
            <w:tcBorders>
              <w:top w:val="single" w:color="auto" w:sz="6" w:space="0"/>
              <w:left w:val="single" w:color="auto" w:sz="6" w:space="0"/>
              <w:bottom w:val="single" w:color="auto" w:sz="6" w:space="0"/>
              <w:right w:val="double" w:color="auto" w:sz="4" w:space="0"/>
            </w:tcBorders>
            <w:noWrap/>
            <w:vAlign w:val="center"/>
          </w:tcPr>
          <w:p w14:paraId="56932FC5">
            <w:pPr>
              <w:adjustRightInd w:val="0"/>
              <w:snapToGrid w:val="0"/>
              <w:ind w:left="-88" w:leftChars="-42"/>
              <w:jc w:val="center"/>
              <w:rPr>
                <w:rFonts w:ascii="宋体" w:hAnsi="宋体" w:eastAsia="宋体" w:cs="宋体"/>
                <w:color w:val="auto"/>
                <w:sz w:val="24"/>
                <w:highlight w:val="none"/>
              </w:rPr>
            </w:pPr>
          </w:p>
        </w:tc>
      </w:tr>
      <w:tr w14:paraId="28D5FCA3">
        <w:tblPrEx>
          <w:tblBorders>
            <w:top w:val="double" w:color="auto" w:sz="4" w:space="0"/>
            <w:left w:val="double" w:color="auto" w:sz="4" w:space="0"/>
            <w:bottom w:val="double" w:color="auto" w:sz="4" w:space="0"/>
            <w:right w:val="double" w:color="auto" w:sz="4" w:space="0"/>
            <w:insideH w:val="none" w:color="auto" w:sz="0" w:space="0"/>
            <w:insideV w:val="none" w:color="auto" w:sz="0" w:space="0"/>
          </w:tblBorders>
          <w:tblCellMar>
            <w:top w:w="0" w:type="dxa"/>
            <w:left w:w="28" w:type="dxa"/>
            <w:bottom w:w="0" w:type="dxa"/>
            <w:right w:w="28" w:type="dxa"/>
          </w:tblCellMar>
        </w:tblPrEx>
        <w:trPr>
          <w:trHeight w:val="580" w:hRule="atLeast"/>
          <w:jc w:val="center"/>
        </w:trPr>
        <w:tc>
          <w:tcPr>
            <w:tcW w:w="916" w:type="dxa"/>
            <w:tcBorders>
              <w:top w:val="single" w:color="auto" w:sz="6" w:space="0"/>
              <w:left w:val="double" w:color="auto" w:sz="4" w:space="0"/>
              <w:bottom w:val="double" w:color="auto" w:sz="4" w:space="0"/>
              <w:right w:val="single" w:color="auto" w:sz="6" w:space="0"/>
            </w:tcBorders>
            <w:noWrap/>
            <w:vAlign w:val="center"/>
          </w:tcPr>
          <w:p w14:paraId="2B72DDCD">
            <w:pPr>
              <w:adjustRightInd w:val="0"/>
              <w:snapToGrid w:val="0"/>
              <w:ind w:left="-88" w:leftChars="-42"/>
              <w:jc w:val="center"/>
              <w:rPr>
                <w:rFonts w:ascii="宋体" w:hAnsi="宋体" w:eastAsia="宋体" w:cs="宋体"/>
                <w:color w:val="auto"/>
                <w:sz w:val="24"/>
                <w:highlight w:val="none"/>
              </w:rPr>
            </w:pPr>
          </w:p>
        </w:tc>
        <w:tc>
          <w:tcPr>
            <w:tcW w:w="2548" w:type="dxa"/>
            <w:tcBorders>
              <w:top w:val="single" w:color="auto" w:sz="6" w:space="0"/>
              <w:left w:val="single" w:color="auto" w:sz="6" w:space="0"/>
              <w:bottom w:val="double" w:color="auto" w:sz="4" w:space="0"/>
              <w:right w:val="single" w:color="auto" w:sz="6" w:space="0"/>
            </w:tcBorders>
            <w:noWrap/>
            <w:vAlign w:val="center"/>
          </w:tcPr>
          <w:p w14:paraId="7F70D722">
            <w:pPr>
              <w:adjustRightInd w:val="0"/>
              <w:snapToGrid w:val="0"/>
              <w:ind w:left="-88" w:leftChars="-42"/>
              <w:jc w:val="center"/>
              <w:rPr>
                <w:rFonts w:ascii="宋体" w:hAnsi="宋体" w:eastAsia="宋体" w:cs="宋体"/>
                <w:color w:val="auto"/>
                <w:sz w:val="24"/>
                <w:highlight w:val="none"/>
              </w:rPr>
            </w:pPr>
          </w:p>
        </w:tc>
        <w:tc>
          <w:tcPr>
            <w:tcW w:w="2247" w:type="dxa"/>
            <w:tcBorders>
              <w:top w:val="single" w:color="auto" w:sz="6" w:space="0"/>
              <w:left w:val="single" w:color="auto" w:sz="6" w:space="0"/>
              <w:bottom w:val="double" w:color="auto" w:sz="4" w:space="0"/>
              <w:right w:val="single" w:color="auto" w:sz="6" w:space="0"/>
            </w:tcBorders>
            <w:noWrap/>
            <w:vAlign w:val="center"/>
          </w:tcPr>
          <w:p w14:paraId="4CCD032A">
            <w:pPr>
              <w:adjustRightInd w:val="0"/>
              <w:snapToGrid w:val="0"/>
              <w:ind w:left="-88" w:leftChars="-42"/>
              <w:jc w:val="center"/>
              <w:rPr>
                <w:rFonts w:ascii="宋体" w:hAnsi="宋体" w:eastAsia="宋体" w:cs="宋体"/>
                <w:color w:val="auto"/>
                <w:sz w:val="24"/>
                <w:highlight w:val="none"/>
              </w:rPr>
            </w:pPr>
          </w:p>
        </w:tc>
        <w:tc>
          <w:tcPr>
            <w:tcW w:w="2177" w:type="dxa"/>
            <w:tcBorders>
              <w:top w:val="single" w:color="auto" w:sz="6" w:space="0"/>
              <w:left w:val="single" w:color="auto" w:sz="6" w:space="0"/>
              <w:bottom w:val="double" w:color="auto" w:sz="4" w:space="0"/>
              <w:right w:val="single" w:color="auto" w:sz="6" w:space="0"/>
            </w:tcBorders>
            <w:noWrap/>
            <w:vAlign w:val="center"/>
          </w:tcPr>
          <w:p w14:paraId="56261951">
            <w:pPr>
              <w:adjustRightInd w:val="0"/>
              <w:snapToGrid w:val="0"/>
              <w:ind w:left="-88" w:leftChars="-42"/>
              <w:jc w:val="center"/>
              <w:rPr>
                <w:rFonts w:ascii="宋体" w:hAnsi="宋体" w:eastAsia="宋体" w:cs="宋体"/>
                <w:color w:val="auto"/>
                <w:sz w:val="24"/>
                <w:highlight w:val="none"/>
              </w:rPr>
            </w:pPr>
          </w:p>
        </w:tc>
        <w:tc>
          <w:tcPr>
            <w:tcW w:w="1276" w:type="dxa"/>
            <w:tcBorders>
              <w:top w:val="single" w:color="auto" w:sz="6" w:space="0"/>
              <w:left w:val="single" w:color="auto" w:sz="6" w:space="0"/>
              <w:bottom w:val="double" w:color="auto" w:sz="4" w:space="0"/>
              <w:right w:val="single" w:color="auto" w:sz="6" w:space="0"/>
            </w:tcBorders>
            <w:noWrap/>
            <w:vAlign w:val="center"/>
          </w:tcPr>
          <w:p w14:paraId="2374E334">
            <w:pPr>
              <w:adjustRightInd w:val="0"/>
              <w:snapToGrid w:val="0"/>
              <w:ind w:left="-88" w:leftChars="-42"/>
              <w:jc w:val="center"/>
              <w:rPr>
                <w:rFonts w:ascii="宋体" w:hAnsi="宋体" w:eastAsia="宋体" w:cs="宋体"/>
                <w:color w:val="auto"/>
                <w:sz w:val="24"/>
                <w:highlight w:val="none"/>
              </w:rPr>
            </w:pPr>
          </w:p>
        </w:tc>
        <w:tc>
          <w:tcPr>
            <w:tcW w:w="821" w:type="dxa"/>
            <w:tcBorders>
              <w:top w:val="single" w:color="auto" w:sz="6" w:space="0"/>
              <w:left w:val="single" w:color="auto" w:sz="6" w:space="0"/>
              <w:bottom w:val="double" w:color="auto" w:sz="4" w:space="0"/>
              <w:right w:val="double" w:color="auto" w:sz="4" w:space="0"/>
            </w:tcBorders>
            <w:noWrap/>
            <w:vAlign w:val="center"/>
          </w:tcPr>
          <w:p w14:paraId="47F3210D">
            <w:pPr>
              <w:adjustRightInd w:val="0"/>
              <w:snapToGrid w:val="0"/>
              <w:ind w:left="-88" w:leftChars="-42"/>
              <w:jc w:val="center"/>
              <w:rPr>
                <w:rFonts w:ascii="宋体" w:hAnsi="宋体" w:eastAsia="宋体" w:cs="宋体"/>
                <w:color w:val="auto"/>
                <w:sz w:val="24"/>
                <w:highlight w:val="none"/>
              </w:rPr>
            </w:pPr>
          </w:p>
        </w:tc>
      </w:tr>
    </w:tbl>
    <w:p w14:paraId="5E384AC4">
      <w:pPr>
        <w:rPr>
          <w:rFonts w:ascii="宋体" w:hAnsi="宋体" w:eastAsia="宋体" w:cs="宋体"/>
          <w:color w:val="auto"/>
          <w:sz w:val="24"/>
          <w:highlight w:val="none"/>
        </w:rPr>
      </w:pPr>
    </w:p>
    <w:p w14:paraId="74277BA4">
      <w:pPr>
        <w:rPr>
          <w:rFonts w:ascii="宋体" w:hAnsi="宋体" w:eastAsia="宋体" w:cs="宋体"/>
          <w:color w:val="auto"/>
          <w:sz w:val="24"/>
          <w:highlight w:val="none"/>
        </w:rPr>
      </w:pPr>
      <w:r>
        <w:rPr>
          <w:rFonts w:hint="eastAsia" w:ascii="宋体" w:hAnsi="宋体" w:eastAsia="宋体" w:cs="宋体"/>
          <w:color w:val="auto"/>
          <w:sz w:val="24"/>
          <w:highlight w:val="none"/>
        </w:rPr>
        <w:t>注：如无偏离，则必须注明无偏离。</w:t>
      </w:r>
    </w:p>
    <w:p w14:paraId="712C3D75">
      <w:pPr>
        <w:adjustRightInd w:val="0"/>
        <w:snapToGrid w:val="0"/>
        <w:ind w:left="-88" w:leftChars="-42"/>
        <w:rPr>
          <w:rFonts w:ascii="宋体" w:hAnsi="宋体" w:eastAsia="宋体" w:cs="宋体"/>
          <w:color w:val="auto"/>
          <w:sz w:val="24"/>
          <w:highlight w:val="none"/>
        </w:rPr>
      </w:pPr>
    </w:p>
    <w:p w14:paraId="0A8B160A">
      <w:pPr>
        <w:adjustRightInd w:val="0"/>
        <w:snapToGrid w:val="0"/>
        <w:ind w:left="-88" w:leftChars="-42"/>
        <w:rPr>
          <w:rFonts w:ascii="宋体" w:hAnsi="宋体" w:eastAsia="宋体" w:cs="宋体"/>
          <w:color w:val="auto"/>
          <w:sz w:val="24"/>
          <w:highlight w:val="none"/>
        </w:rPr>
      </w:pPr>
    </w:p>
    <w:p w14:paraId="589733F8">
      <w:pPr>
        <w:adjustRightInd w:val="0"/>
        <w:snapToGrid w:val="0"/>
        <w:ind w:left="-88" w:leftChars="-42"/>
        <w:rPr>
          <w:rFonts w:ascii="宋体" w:hAnsi="宋体" w:eastAsia="宋体" w:cs="宋体"/>
          <w:color w:val="auto"/>
          <w:sz w:val="24"/>
          <w:highlight w:val="none"/>
        </w:rPr>
      </w:pPr>
    </w:p>
    <w:p w14:paraId="738B1C61">
      <w:pPr>
        <w:ind w:firstLine="480" w:firstLineChars="200"/>
        <w:rPr>
          <w:rFonts w:ascii="宋体" w:hAnsi="宋体" w:eastAsia="宋体" w:cs="宋体"/>
          <w:color w:val="auto"/>
          <w:sz w:val="24"/>
          <w:highlight w:val="none"/>
        </w:rPr>
      </w:pPr>
    </w:p>
    <w:p w14:paraId="13CC9183">
      <w:pPr>
        <w:ind w:firstLine="480" w:firstLineChars="200"/>
        <w:rPr>
          <w:rFonts w:ascii="宋体" w:hAnsi="宋体" w:eastAsia="宋体" w:cs="宋体"/>
          <w:color w:val="auto"/>
          <w:sz w:val="24"/>
          <w:highlight w:val="none"/>
        </w:rPr>
      </w:pPr>
    </w:p>
    <w:p w14:paraId="74636923">
      <w:pPr>
        <w:adjustRightInd w:val="0"/>
        <w:snapToGrid w:val="0"/>
        <w:spacing w:line="360" w:lineRule="auto"/>
        <w:outlineLvl w:val="0"/>
        <w:rPr>
          <w:rFonts w:ascii="宋体" w:hAnsi="宋体" w:eastAsia="宋体" w:cs="宋体"/>
          <w:color w:val="auto"/>
          <w:sz w:val="24"/>
          <w:highlight w:val="none"/>
        </w:rPr>
      </w:pPr>
      <w:r>
        <w:rPr>
          <w:rFonts w:hint="eastAsia" w:ascii="宋体" w:hAnsi="宋体" w:eastAsia="宋体" w:cs="宋体"/>
          <w:color w:val="auto"/>
          <w:sz w:val="24"/>
          <w:highlight w:val="none"/>
        </w:rPr>
        <w:t>投标人名称：</w:t>
      </w:r>
    </w:p>
    <w:p w14:paraId="567FC4B1">
      <w:pPr>
        <w:adjustRightInd w:val="0"/>
        <w:snapToGrid w:val="0"/>
        <w:spacing w:line="360" w:lineRule="auto"/>
        <w:outlineLvl w:val="0"/>
        <w:rPr>
          <w:rFonts w:ascii="宋体" w:hAnsi="宋体" w:eastAsia="宋体" w:cs="宋体"/>
          <w:color w:val="auto"/>
          <w:sz w:val="24"/>
          <w:highlight w:val="none"/>
        </w:rPr>
      </w:pPr>
      <w:r>
        <w:rPr>
          <w:rFonts w:hint="eastAsia" w:ascii="宋体" w:hAnsi="宋体" w:eastAsia="宋体" w:cs="宋体"/>
          <w:color w:val="auto"/>
          <w:sz w:val="24"/>
          <w:highlight w:val="none"/>
        </w:rPr>
        <w:t>法定代表人或其委托代理人(签字)：</w:t>
      </w:r>
    </w:p>
    <w:p w14:paraId="6D9C9963">
      <w:pPr>
        <w:adjustRightInd w:val="0"/>
        <w:snapToGrid w:val="0"/>
        <w:spacing w:line="360" w:lineRule="auto"/>
        <w:outlineLvl w:val="0"/>
        <w:rPr>
          <w:rFonts w:ascii="宋体" w:hAnsi="宋体" w:eastAsia="宋体" w:cs="宋体"/>
          <w:color w:val="auto"/>
          <w:sz w:val="24"/>
          <w:highlight w:val="none"/>
        </w:rPr>
      </w:pPr>
      <w:r>
        <w:rPr>
          <w:rFonts w:hint="eastAsia" w:ascii="宋体" w:hAnsi="宋体" w:eastAsia="宋体" w:cs="宋体"/>
          <w:color w:val="auto"/>
          <w:sz w:val="24"/>
          <w:highlight w:val="none"/>
        </w:rPr>
        <w:t>日 期 ：  年  月  日</w:t>
      </w:r>
    </w:p>
    <w:p w14:paraId="7B925E04">
      <w:pPr>
        <w:adjustRightInd w:val="0"/>
        <w:snapToGrid w:val="0"/>
        <w:spacing w:line="360" w:lineRule="auto"/>
        <w:outlineLvl w:val="0"/>
        <w:rPr>
          <w:rFonts w:ascii="宋体" w:hAnsi="宋体" w:eastAsia="宋体" w:cs="宋体"/>
          <w:color w:val="auto"/>
          <w:szCs w:val="21"/>
          <w:highlight w:val="none"/>
        </w:rPr>
      </w:pPr>
    </w:p>
    <w:p w14:paraId="1C8E4536">
      <w:pPr>
        <w:spacing w:line="380" w:lineRule="exact"/>
        <w:jc w:val="center"/>
        <w:rPr>
          <w:rFonts w:ascii="宋体" w:hAnsi="宋体" w:eastAsia="宋体" w:cs="宋体"/>
          <w:color w:val="auto"/>
          <w:sz w:val="32"/>
          <w:szCs w:val="21"/>
          <w:highlight w:val="none"/>
        </w:rPr>
      </w:pPr>
      <w:r>
        <w:rPr>
          <w:rFonts w:hint="eastAsia" w:ascii="宋体" w:hAnsi="宋体" w:eastAsia="宋体" w:cs="宋体"/>
          <w:b/>
          <w:color w:val="auto"/>
          <w:sz w:val="32"/>
          <w:szCs w:val="32"/>
          <w:highlight w:val="none"/>
        </w:rPr>
        <w:br w:type="page"/>
      </w:r>
      <w:r>
        <w:rPr>
          <w:rFonts w:hint="eastAsia" w:ascii="宋体" w:hAnsi="宋体" w:eastAsia="宋体" w:cs="宋体"/>
          <w:b/>
          <w:color w:val="auto"/>
          <w:sz w:val="32"/>
          <w:szCs w:val="32"/>
          <w:highlight w:val="none"/>
        </w:rPr>
        <w:t>五、法定代表人身份证明</w:t>
      </w:r>
    </w:p>
    <w:p w14:paraId="2D730492">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投标人名称：</w:t>
      </w:r>
    </w:p>
    <w:p w14:paraId="690120A4">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单位性质：</w:t>
      </w:r>
    </w:p>
    <w:p w14:paraId="182D85E6">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地址：</w:t>
      </w:r>
    </w:p>
    <w:p w14:paraId="1037715A">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成立时间： 年 月 日</w:t>
      </w:r>
    </w:p>
    <w:p w14:paraId="3794582B">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经营期限：</w:t>
      </w:r>
    </w:p>
    <w:p w14:paraId="5C226F66">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姓名：</w:t>
      </w:r>
      <w:r>
        <w:rPr>
          <w:rFonts w:hint="eastAsia" w:ascii="宋体" w:hAnsi="宋体" w:eastAsia="宋体" w:cs="宋体"/>
          <w:color w:val="auto"/>
          <w:sz w:val="24"/>
          <w:highlight w:val="none"/>
          <w:u w:val="single"/>
        </w:rPr>
        <w:t xml:space="preserve">      （法定代表人签字）</w:t>
      </w:r>
      <w:r>
        <w:rPr>
          <w:rFonts w:hint="eastAsia" w:ascii="宋体" w:hAnsi="宋体" w:eastAsia="宋体" w:cs="宋体"/>
          <w:color w:val="auto"/>
          <w:sz w:val="24"/>
          <w:highlight w:val="none"/>
        </w:rPr>
        <w:t xml:space="preserve"> 性别： 年龄：职务：</w:t>
      </w:r>
    </w:p>
    <w:p w14:paraId="31099A40">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系 （投标人名称）的法定代表人。</w:t>
      </w:r>
    </w:p>
    <w:p w14:paraId="63C52050">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特此证明。</w:t>
      </w:r>
    </w:p>
    <w:p w14:paraId="1E109C9A">
      <w:pPr>
        <w:spacing w:line="400" w:lineRule="exact"/>
        <w:rPr>
          <w:rFonts w:ascii="宋体" w:hAnsi="宋体" w:eastAsia="宋体" w:cs="宋体"/>
          <w:color w:val="auto"/>
          <w:sz w:val="24"/>
          <w:highlight w:val="none"/>
        </w:rPr>
      </w:pPr>
    </w:p>
    <w:p w14:paraId="13882272">
      <w:pPr>
        <w:spacing w:line="400" w:lineRule="exact"/>
        <w:jc w:val="right"/>
        <w:rPr>
          <w:rFonts w:ascii="宋体" w:hAnsi="宋体" w:eastAsia="宋体" w:cs="宋体"/>
          <w:color w:val="auto"/>
          <w:sz w:val="24"/>
          <w:highlight w:val="none"/>
        </w:rPr>
      </w:pP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73"/>
        <w:gridCol w:w="4473"/>
      </w:tblGrid>
      <w:tr w14:paraId="3E3B8F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10" w:hRule="atLeast"/>
          <w:jc w:val="center"/>
        </w:trPr>
        <w:tc>
          <w:tcPr>
            <w:tcW w:w="4473" w:type="dxa"/>
            <w:noWrap/>
            <w:vAlign w:val="center"/>
          </w:tcPr>
          <w:p w14:paraId="28895691">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法人身份证（正面）</w:t>
            </w:r>
          </w:p>
        </w:tc>
        <w:tc>
          <w:tcPr>
            <w:tcW w:w="4473" w:type="dxa"/>
            <w:noWrap/>
            <w:vAlign w:val="center"/>
          </w:tcPr>
          <w:p w14:paraId="06985C94">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法人身份证（背面）</w:t>
            </w:r>
          </w:p>
        </w:tc>
      </w:tr>
    </w:tbl>
    <w:p w14:paraId="7EC208CC">
      <w:pPr>
        <w:spacing w:line="400" w:lineRule="exact"/>
        <w:jc w:val="right"/>
        <w:rPr>
          <w:rFonts w:ascii="宋体" w:hAnsi="宋体" w:eastAsia="宋体" w:cs="宋体"/>
          <w:color w:val="auto"/>
          <w:sz w:val="24"/>
          <w:highlight w:val="none"/>
        </w:rPr>
      </w:pPr>
    </w:p>
    <w:p w14:paraId="308524C0">
      <w:pPr>
        <w:spacing w:line="400" w:lineRule="exact"/>
        <w:jc w:val="right"/>
        <w:rPr>
          <w:rFonts w:ascii="宋体" w:hAnsi="宋体" w:eastAsia="宋体" w:cs="宋体"/>
          <w:color w:val="auto"/>
          <w:sz w:val="24"/>
          <w:highlight w:val="none"/>
        </w:rPr>
      </w:pPr>
    </w:p>
    <w:p w14:paraId="7D5CF035">
      <w:pPr>
        <w:spacing w:line="36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 xml:space="preserve">                                    投标人：（盖单位章）</w:t>
      </w:r>
    </w:p>
    <w:p w14:paraId="30F3C408">
      <w:pPr>
        <w:spacing w:line="360" w:lineRule="auto"/>
        <w:jc w:val="right"/>
        <w:rPr>
          <w:rFonts w:ascii="宋体" w:hAnsi="宋体" w:eastAsia="宋体" w:cs="宋体"/>
          <w:color w:val="auto"/>
          <w:sz w:val="24"/>
          <w:highlight w:val="none"/>
        </w:rPr>
      </w:pPr>
      <w:r>
        <w:rPr>
          <w:rFonts w:hint="eastAsia" w:ascii="宋体" w:hAnsi="宋体" w:eastAsia="宋体" w:cs="宋体"/>
          <w:color w:val="auto"/>
          <w:sz w:val="24"/>
          <w:highlight w:val="none"/>
        </w:rPr>
        <w:t xml:space="preserve">年月日 </w:t>
      </w:r>
    </w:p>
    <w:p w14:paraId="3B8A663D">
      <w:pPr>
        <w:spacing w:line="400" w:lineRule="exact"/>
        <w:ind w:right="600"/>
        <w:rPr>
          <w:rFonts w:ascii="宋体" w:hAnsi="宋体" w:eastAsia="宋体" w:cs="宋体"/>
          <w:b/>
          <w:color w:val="auto"/>
          <w:sz w:val="24"/>
          <w:highlight w:val="none"/>
        </w:rPr>
      </w:pPr>
    </w:p>
    <w:p w14:paraId="19364B1F">
      <w:pPr>
        <w:spacing w:line="440" w:lineRule="exact"/>
        <w:ind w:right="600"/>
        <w:rPr>
          <w:rFonts w:ascii="宋体" w:hAnsi="宋体" w:eastAsia="宋体" w:cs="宋体"/>
          <w:b/>
          <w:color w:val="auto"/>
          <w:sz w:val="24"/>
          <w:highlight w:val="none"/>
        </w:rPr>
      </w:pPr>
      <w:bookmarkStart w:id="10" w:name="_Toc193115823"/>
      <w:bookmarkStart w:id="11" w:name="_Toc235592960"/>
      <w:bookmarkStart w:id="12" w:name="_Toc281562938"/>
      <w:r>
        <w:rPr>
          <w:rFonts w:hint="eastAsia" w:ascii="宋体" w:hAnsi="宋体" w:eastAsia="宋体" w:cs="宋体"/>
          <w:b/>
          <w:color w:val="auto"/>
          <w:sz w:val="24"/>
          <w:highlight w:val="none"/>
        </w:rPr>
        <w:t>注：1、法定代表人的签字必须是亲笔签名，不得使用印章签名或其他电子制版签名代替亲笔签名。</w:t>
      </w:r>
    </w:p>
    <w:p w14:paraId="4283477B">
      <w:pPr>
        <w:spacing w:line="440" w:lineRule="exact"/>
        <w:ind w:firstLine="482" w:firstLineChars="200"/>
        <w:rPr>
          <w:rFonts w:ascii="宋体" w:hAnsi="宋体" w:eastAsia="宋体" w:cs="宋体"/>
          <w:b/>
          <w:color w:val="auto"/>
          <w:sz w:val="24"/>
          <w:highlight w:val="none"/>
        </w:rPr>
      </w:pPr>
      <w:r>
        <w:rPr>
          <w:rFonts w:hint="eastAsia" w:ascii="宋体" w:hAnsi="宋体" w:eastAsia="宋体" w:cs="宋体"/>
          <w:b/>
          <w:color w:val="auto"/>
          <w:sz w:val="24"/>
          <w:highlight w:val="none"/>
        </w:rPr>
        <w:t>2、提供两份原件，一份在开标时提供查验，一份并入投标文件正本中。法定代表人来参加开标，则必须同时携带法定代表人身份证明和本人身份证原件。</w:t>
      </w:r>
    </w:p>
    <w:p w14:paraId="5425C5B1">
      <w:pPr>
        <w:spacing w:line="400" w:lineRule="exact"/>
        <w:rPr>
          <w:rFonts w:ascii="宋体" w:hAnsi="宋体" w:eastAsia="宋体" w:cs="宋体"/>
          <w:color w:val="auto"/>
          <w:szCs w:val="21"/>
          <w:highlight w:val="none"/>
        </w:rPr>
      </w:pPr>
    </w:p>
    <w:p w14:paraId="40C047C6">
      <w:pPr>
        <w:spacing w:line="400" w:lineRule="exact"/>
        <w:jc w:val="center"/>
        <w:rPr>
          <w:rFonts w:ascii="宋体" w:hAnsi="宋体" w:eastAsia="宋体" w:cs="宋体"/>
          <w:color w:val="auto"/>
          <w:sz w:val="32"/>
          <w:szCs w:val="32"/>
          <w:highlight w:val="none"/>
        </w:rPr>
      </w:pPr>
      <w:r>
        <w:rPr>
          <w:rFonts w:hint="eastAsia" w:ascii="宋体" w:hAnsi="宋体" w:eastAsia="宋体" w:cs="宋体"/>
          <w:b/>
          <w:color w:val="auto"/>
          <w:sz w:val="32"/>
          <w:szCs w:val="32"/>
          <w:highlight w:val="none"/>
        </w:rPr>
        <w:br w:type="page"/>
      </w:r>
      <w:r>
        <w:rPr>
          <w:rFonts w:hint="eastAsia" w:ascii="宋体" w:hAnsi="宋体" w:eastAsia="宋体" w:cs="宋体"/>
          <w:b/>
          <w:color w:val="auto"/>
          <w:sz w:val="32"/>
          <w:szCs w:val="32"/>
          <w:highlight w:val="none"/>
        </w:rPr>
        <w:t>授权委托书</w:t>
      </w:r>
      <w:bookmarkEnd w:id="10"/>
      <w:bookmarkEnd w:id="11"/>
      <w:bookmarkEnd w:id="12"/>
      <w:r>
        <w:rPr>
          <w:rFonts w:hint="eastAsia" w:ascii="宋体" w:hAnsi="宋体" w:eastAsia="宋体" w:cs="宋体"/>
          <w:b/>
          <w:color w:val="auto"/>
          <w:sz w:val="32"/>
          <w:szCs w:val="32"/>
          <w:highlight w:val="none"/>
        </w:rPr>
        <w:t>（如有）</w:t>
      </w:r>
    </w:p>
    <w:p w14:paraId="48748F52">
      <w:pPr>
        <w:spacing w:line="400" w:lineRule="exact"/>
        <w:rPr>
          <w:rFonts w:ascii="宋体" w:hAnsi="宋体" w:eastAsia="宋体" w:cs="宋体"/>
          <w:color w:val="auto"/>
          <w:sz w:val="32"/>
          <w:szCs w:val="21"/>
          <w:highlight w:val="none"/>
        </w:rPr>
      </w:pPr>
    </w:p>
    <w:p w14:paraId="5E2CA75C">
      <w:pPr>
        <w:topLinePunct/>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本人（姓名）系（投标人名称）的法定代表人，现委托（姓名）为我方代理人。代理人根据授权，以我方名义签署、澄清、说明、补正、递交、撤回、修改（项目名称）投标文件、签订合同和处理有关事宜，其法律后果由我方承担。</w:t>
      </w:r>
    </w:p>
    <w:p w14:paraId="298D474F">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 xml:space="preserve">    委托期限：。</w:t>
      </w:r>
    </w:p>
    <w:p w14:paraId="04E09459">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代理人无转委托权。</w:t>
      </w:r>
    </w:p>
    <w:p w14:paraId="669178AA">
      <w:pPr>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附：法定代表人身份证明</w:t>
      </w:r>
    </w:p>
    <w:p w14:paraId="126DBE26">
      <w:pPr>
        <w:spacing w:line="240" w:lineRule="exact"/>
        <w:ind w:firstLine="480" w:firstLineChars="200"/>
        <w:rPr>
          <w:rFonts w:ascii="宋体" w:hAnsi="宋体" w:eastAsia="宋体" w:cs="宋体"/>
          <w:color w:val="auto"/>
          <w:sz w:val="24"/>
          <w:highlight w:val="none"/>
        </w:rPr>
      </w:pPr>
    </w:p>
    <w:p w14:paraId="0F1A4C09">
      <w:pPr>
        <w:spacing w:line="240" w:lineRule="exact"/>
        <w:ind w:firstLine="480" w:firstLineChars="200"/>
        <w:rPr>
          <w:rFonts w:ascii="宋体" w:hAnsi="宋体" w:eastAsia="宋体" w:cs="宋体"/>
          <w:color w:val="auto"/>
          <w:sz w:val="24"/>
          <w:highlight w:val="none"/>
        </w:rPr>
      </w:pP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661"/>
        <w:gridCol w:w="4661"/>
      </w:tblGrid>
      <w:tr w14:paraId="727007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17" w:hRule="atLeast"/>
          <w:jc w:val="center"/>
        </w:trPr>
        <w:tc>
          <w:tcPr>
            <w:tcW w:w="4661" w:type="dxa"/>
            <w:noWrap/>
            <w:vAlign w:val="center"/>
          </w:tcPr>
          <w:p w14:paraId="1B2FBB03">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法人身份证（正面）</w:t>
            </w:r>
          </w:p>
        </w:tc>
        <w:tc>
          <w:tcPr>
            <w:tcW w:w="4661" w:type="dxa"/>
            <w:noWrap/>
            <w:vAlign w:val="center"/>
          </w:tcPr>
          <w:p w14:paraId="2A19ABCD">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法人身份证（背面）</w:t>
            </w:r>
          </w:p>
        </w:tc>
      </w:tr>
      <w:tr w14:paraId="32C90E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82" w:hRule="atLeast"/>
          <w:jc w:val="center"/>
        </w:trPr>
        <w:tc>
          <w:tcPr>
            <w:tcW w:w="4661" w:type="dxa"/>
            <w:noWrap/>
            <w:vAlign w:val="center"/>
          </w:tcPr>
          <w:p w14:paraId="4ADC8E12">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代理人身份证（正面）</w:t>
            </w:r>
          </w:p>
        </w:tc>
        <w:tc>
          <w:tcPr>
            <w:tcW w:w="4661" w:type="dxa"/>
            <w:noWrap/>
            <w:vAlign w:val="center"/>
          </w:tcPr>
          <w:p w14:paraId="20310311">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代理人身份证（背面）</w:t>
            </w:r>
          </w:p>
        </w:tc>
      </w:tr>
    </w:tbl>
    <w:p w14:paraId="546CD0AE">
      <w:pPr>
        <w:spacing w:line="240" w:lineRule="exact"/>
        <w:rPr>
          <w:rFonts w:ascii="宋体" w:hAnsi="宋体" w:eastAsia="宋体" w:cs="宋体"/>
          <w:color w:val="auto"/>
          <w:sz w:val="28"/>
          <w:szCs w:val="28"/>
          <w:highlight w:val="none"/>
        </w:rPr>
      </w:pPr>
    </w:p>
    <w:p w14:paraId="5566C93E">
      <w:pPr>
        <w:spacing w:line="240" w:lineRule="exact"/>
        <w:ind w:right="480"/>
        <w:rPr>
          <w:rFonts w:ascii="宋体" w:hAnsi="宋体" w:eastAsia="宋体" w:cs="宋体"/>
          <w:color w:val="auto"/>
          <w:sz w:val="24"/>
          <w:highlight w:val="none"/>
        </w:rPr>
      </w:pPr>
      <w:r>
        <w:rPr>
          <w:rFonts w:hint="eastAsia" w:ascii="宋体" w:hAnsi="宋体" w:eastAsia="宋体" w:cs="宋体"/>
          <w:color w:val="auto"/>
          <w:sz w:val="24"/>
          <w:highlight w:val="none"/>
        </w:rPr>
        <w:t>投标人：（盖单位章）</w:t>
      </w:r>
    </w:p>
    <w:p w14:paraId="2D79A2F5">
      <w:pPr>
        <w:spacing w:line="240" w:lineRule="exact"/>
        <w:jc w:val="right"/>
        <w:rPr>
          <w:rFonts w:ascii="宋体" w:hAnsi="宋体" w:eastAsia="宋体" w:cs="宋体"/>
          <w:color w:val="auto"/>
          <w:sz w:val="24"/>
          <w:highlight w:val="none"/>
        </w:rPr>
      </w:pPr>
    </w:p>
    <w:p w14:paraId="4980E851">
      <w:pPr>
        <w:spacing w:line="240" w:lineRule="exact"/>
        <w:ind w:right="480"/>
        <w:rPr>
          <w:rFonts w:ascii="宋体" w:hAnsi="宋体" w:eastAsia="宋体" w:cs="宋体"/>
          <w:color w:val="auto"/>
          <w:sz w:val="24"/>
          <w:highlight w:val="none"/>
        </w:rPr>
      </w:pPr>
      <w:r>
        <w:rPr>
          <w:rFonts w:hint="eastAsia" w:ascii="宋体" w:hAnsi="宋体" w:eastAsia="宋体" w:cs="宋体"/>
          <w:color w:val="auto"/>
          <w:sz w:val="24"/>
          <w:highlight w:val="none"/>
        </w:rPr>
        <w:t>法定代表人：（签字）</w:t>
      </w:r>
    </w:p>
    <w:p w14:paraId="5839AF77">
      <w:pPr>
        <w:spacing w:line="240" w:lineRule="exact"/>
        <w:ind w:right="420"/>
        <w:rPr>
          <w:rFonts w:ascii="宋体" w:hAnsi="宋体" w:eastAsia="宋体" w:cs="宋体"/>
          <w:color w:val="auto"/>
          <w:sz w:val="24"/>
          <w:highlight w:val="none"/>
        </w:rPr>
      </w:pPr>
    </w:p>
    <w:p w14:paraId="23C519B8">
      <w:pPr>
        <w:spacing w:line="240" w:lineRule="exact"/>
        <w:ind w:right="480"/>
        <w:rPr>
          <w:rFonts w:ascii="宋体" w:hAnsi="宋体" w:eastAsia="宋体" w:cs="宋体"/>
          <w:color w:val="auto"/>
          <w:sz w:val="24"/>
          <w:highlight w:val="none"/>
        </w:rPr>
      </w:pPr>
      <w:r>
        <w:rPr>
          <w:rFonts w:hint="eastAsia" w:ascii="宋体" w:hAnsi="宋体" w:eastAsia="宋体" w:cs="宋体"/>
          <w:color w:val="auto"/>
          <w:sz w:val="24"/>
          <w:highlight w:val="none"/>
        </w:rPr>
        <w:t>授权委托代理人：（签字）</w:t>
      </w:r>
    </w:p>
    <w:p w14:paraId="4FEE5D59">
      <w:pPr>
        <w:spacing w:line="240" w:lineRule="exact"/>
        <w:ind w:right="480"/>
        <w:rPr>
          <w:rFonts w:ascii="宋体" w:hAnsi="宋体" w:eastAsia="宋体" w:cs="宋体"/>
          <w:color w:val="auto"/>
          <w:sz w:val="24"/>
          <w:highlight w:val="none"/>
        </w:rPr>
      </w:pPr>
    </w:p>
    <w:p w14:paraId="57902CC4">
      <w:pPr>
        <w:spacing w:line="240" w:lineRule="exact"/>
        <w:rPr>
          <w:rFonts w:ascii="宋体" w:hAnsi="宋体" w:eastAsia="宋体" w:cs="宋体"/>
          <w:b/>
          <w:bCs/>
          <w:color w:val="auto"/>
          <w:sz w:val="24"/>
          <w:highlight w:val="none"/>
        </w:rPr>
      </w:pPr>
      <w:r>
        <w:rPr>
          <w:rFonts w:hint="eastAsia" w:ascii="宋体" w:hAnsi="宋体" w:eastAsia="宋体" w:cs="宋体"/>
          <w:color w:val="auto"/>
          <w:sz w:val="24"/>
          <w:highlight w:val="none"/>
        </w:rPr>
        <w:t>年月日</w:t>
      </w:r>
    </w:p>
    <w:p w14:paraId="683AE54C">
      <w:pPr>
        <w:spacing w:line="440" w:lineRule="exact"/>
        <w:ind w:firstLine="482" w:firstLineChars="200"/>
        <w:jc w:val="left"/>
        <w:rPr>
          <w:rFonts w:ascii="宋体" w:hAnsi="宋体" w:eastAsia="宋体" w:cs="宋体"/>
          <w:b/>
          <w:bCs/>
          <w:color w:val="auto"/>
          <w:sz w:val="24"/>
          <w:highlight w:val="none"/>
        </w:rPr>
      </w:pPr>
      <w:r>
        <w:rPr>
          <w:rFonts w:hint="eastAsia" w:ascii="宋体" w:hAnsi="宋体" w:eastAsia="宋体" w:cs="宋体"/>
          <w:b/>
          <w:bCs/>
          <w:color w:val="auto"/>
          <w:sz w:val="24"/>
          <w:highlight w:val="none"/>
        </w:rPr>
        <w:t>注：提供两份原件，一份在开标时提供查验，一份并入投标文件正本中。法定代表人授权委托人来参加开标，则必须同时携带法定代表人身份证明和法定代表人授权委托书及被授权人有效身份证原件及被授权人在投标人近三个月内任意一个月的社保证明。</w:t>
      </w:r>
    </w:p>
    <w:p w14:paraId="0A852D8B">
      <w:pPr>
        <w:ind w:firstLine="640" w:firstLineChars="200"/>
        <w:rPr>
          <w:rFonts w:ascii="宋体" w:hAnsi="宋体" w:eastAsia="宋体" w:cs="宋体"/>
          <w:color w:val="auto"/>
          <w:sz w:val="32"/>
          <w:highlight w:val="none"/>
        </w:rPr>
      </w:pPr>
    </w:p>
    <w:p w14:paraId="0316E34A">
      <w:pPr>
        <w:overflowPunct w:val="0"/>
        <w:spacing w:line="360" w:lineRule="auto"/>
        <w:jc w:val="center"/>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六、投标人基本情况表及资格审查资料</w:t>
      </w:r>
    </w:p>
    <w:p w14:paraId="20188F41">
      <w:pPr>
        <w:spacing w:after="120"/>
        <w:ind w:left="420" w:leftChars="200" w:firstLine="482" w:firstLineChars="200"/>
        <w:rPr>
          <w:rFonts w:ascii="宋体" w:hAnsi="宋体" w:eastAsia="宋体" w:cs="宋体"/>
          <w:color w:val="auto"/>
          <w:sz w:val="24"/>
          <w:highlight w:val="none"/>
        </w:rPr>
      </w:pPr>
      <w:r>
        <w:rPr>
          <w:rFonts w:hint="eastAsia" w:ascii="宋体" w:hAnsi="宋体" w:eastAsia="宋体" w:cs="宋体"/>
          <w:b/>
          <w:color w:val="auto"/>
          <w:sz w:val="24"/>
          <w:highlight w:val="none"/>
        </w:rPr>
        <w:t>（1）投标人基本情况表</w:t>
      </w:r>
    </w:p>
    <w:tbl>
      <w:tblPr>
        <w:tblStyle w:val="8"/>
        <w:tblW w:w="901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8"/>
        <w:gridCol w:w="901"/>
        <w:gridCol w:w="1142"/>
        <w:gridCol w:w="855"/>
        <w:gridCol w:w="585"/>
        <w:gridCol w:w="299"/>
        <w:gridCol w:w="1082"/>
        <w:gridCol w:w="1838"/>
        <w:gridCol w:w="1556"/>
        <w:gridCol w:w="25"/>
        <w:gridCol w:w="9"/>
      </w:tblGrid>
      <w:tr w14:paraId="4C328D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619" w:type="dxa"/>
            <w:gridSpan w:val="2"/>
            <w:tcBorders>
              <w:top w:val="double" w:color="auto" w:sz="4" w:space="0"/>
              <w:left w:val="double" w:color="auto" w:sz="4" w:space="0"/>
              <w:bottom w:val="single" w:color="auto" w:sz="6" w:space="0"/>
              <w:right w:val="single" w:color="auto" w:sz="6" w:space="0"/>
            </w:tcBorders>
            <w:vAlign w:val="center"/>
          </w:tcPr>
          <w:p w14:paraId="68316EAA">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投标人名称</w:t>
            </w:r>
          </w:p>
        </w:tc>
        <w:tc>
          <w:tcPr>
            <w:tcW w:w="3963" w:type="dxa"/>
            <w:gridSpan w:val="5"/>
            <w:tcBorders>
              <w:top w:val="double" w:color="auto" w:sz="4" w:space="0"/>
              <w:left w:val="single" w:color="auto" w:sz="6" w:space="0"/>
              <w:bottom w:val="single" w:color="auto" w:sz="6" w:space="0"/>
              <w:right w:val="single" w:color="auto" w:sz="6" w:space="0"/>
            </w:tcBorders>
            <w:vAlign w:val="center"/>
          </w:tcPr>
          <w:p w14:paraId="658A5B68">
            <w:pPr>
              <w:topLinePunct/>
              <w:spacing w:line="440" w:lineRule="exact"/>
              <w:jc w:val="center"/>
              <w:rPr>
                <w:rFonts w:ascii="宋体" w:hAnsi="宋体" w:eastAsia="宋体" w:cs="宋体"/>
                <w:color w:val="auto"/>
                <w:sz w:val="24"/>
                <w:highlight w:val="none"/>
              </w:rPr>
            </w:pPr>
          </w:p>
        </w:tc>
        <w:tc>
          <w:tcPr>
            <w:tcW w:w="1838" w:type="dxa"/>
            <w:tcBorders>
              <w:top w:val="double" w:color="auto" w:sz="4" w:space="0"/>
              <w:left w:val="single" w:color="auto" w:sz="6" w:space="0"/>
              <w:bottom w:val="single" w:color="auto" w:sz="6" w:space="0"/>
              <w:right w:val="single" w:color="auto" w:sz="6" w:space="0"/>
            </w:tcBorders>
            <w:vAlign w:val="center"/>
          </w:tcPr>
          <w:p w14:paraId="72887F7B">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590" w:type="dxa"/>
            <w:gridSpan w:val="3"/>
            <w:tcBorders>
              <w:top w:val="double" w:color="auto" w:sz="4" w:space="0"/>
              <w:left w:val="single" w:color="auto" w:sz="6" w:space="0"/>
              <w:bottom w:val="single" w:color="auto" w:sz="6" w:space="0"/>
              <w:right w:val="double" w:color="auto" w:sz="4" w:space="0"/>
            </w:tcBorders>
            <w:vAlign w:val="center"/>
          </w:tcPr>
          <w:p w14:paraId="4543AFBF">
            <w:pPr>
              <w:topLinePunct/>
              <w:spacing w:line="440" w:lineRule="exact"/>
              <w:jc w:val="center"/>
              <w:rPr>
                <w:rFonts w:ascii="宋体" w:hAnsi="宋体" w:eastAsia="宋体" w:cs="宋体"/>
                <w:color w:val="auto"/>
                <w:sz w:val="24"/>
                <w:highlight w:val="none"/>
              </w:rPr>
            </w:pPr>
          </w:p>
        </w:tc>
      </w:tr>
      <w:tr w14:paraId="07483F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trHeight w:val="608" w:hRule="atLeast"/>
        </w:trPr>
        <w:tc>
          <w:tcPr>
            <w:tcW w:w="1619" w:type="dxa"/>
            <w:gridSpan w:val="2"/>
            <w:tcBorders>
              <w:top w:val="single" w:color="auto" w:sz="6" w:space="0"/>
              <w:left w:val="double" w:color="auto" w:sz="4" w:space="0"/>
              <w:bottom w:val="single" w:color="auto" w:sz="6" w:space="0"/>
              <w:right w:val="single" w:color="auto" w:sz="6" w:space="0"/>
            </w:tcBorders>
            <w:vAlign w:val="center"/>
          </w:tcPr>
          <w:p w14:paraId="3149E409">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3963" w:type="dxa"/>
            <w:gridSpan w:val="5"/>
            <w:tcBorders>
              <w:top w:val="single" w:color="auto" w:sz="6" w:space="0"/>
              <w:left w:val="single" w:color="auto" w:sz="6" w:space="0"/>
              <w:bottom w:val="single" w:color="auto" w:sz="6" w:space="0"/>
              <w:right w:val="single" w:color="auto" w:sz="6" w:space="0"/>
            </w:tcBorders>
            <w:vAlign w:val="center"/>
          </w:tcPr>
          <w:p w14:paraId="168BA7D4">
            <w:pPr>
              <w:topLinePunct/>
              <w:spacing w:line="440" w:lineRule="exact"/>
              <w:jc w:val="center"/>
              <w:rPr>
                <w:rFonts w:ascii="宋体" w:hAnsi="宋体" w:eastAsia="宋体" w:cs="宋体"/>
                <w:color w:val="auto"/>
                <w:sz w:val="24"/>
                <w:highlight w:val="none"/>
              </w:rPr>
            </w:pPr>
          </w:p>
        </w:tc>
        <w:tc>
          <w:tcPr>
            <w:tcW w:w="1838" w:type="dxa"/>
            <w:tcBorders>
              <w:top w:val="single" w:color="auto" w:sz="6" w:space="0"/>
              <w:left w:val="single" w:color="auto" w:sz="6" w:space="0"/>
              <w:bottom w:val="single" w:color="auto" w:sz="6" w:space="0"/>
              <w:right w:val="single" w:color="auto" w:sz="6" w:space="0"/>
            </w:tcBorders>
            <w:vAlign w:val="center"/>
          </w:tcPr>
          <w:p w14:paraId="1A9F1A9C">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联系电话</w:t>
            </w:r>
          </w:p>
        </w:tc>
        <w:tc>
          <w:tcPr>
            <w:tcW w:w="1581" w:type="dxa"/>
            <w:gridSpan w:val="2"/>
            <w:tcBorders>
              <w:top w:val="single" w:color="auto" w:sz="6" w:space="0"/>
              <w:left w:val="single" w:color="auto" w:sz="6" w:space="0"/>
              <w:bottom w:val="single" w:color="auto" w:sz="6" w:space="0"/>
              <w:right w:val="double" w:color="auto" w:sz="4" w:space="0"/>
            </w:tcBorders>
            <w:vAlign w:val="center"/>
          </w:tcPr>
          <w:p w14:paraId="10F9EBE8">
            <w:pPr>
              <w:topLinePunct/>
              <w:spacing w:line="440" w:lineRule="exact"/>
              <w:jc w:val="center"/>
              <w:rPr>
                <w:rFonts w:ascii="宋体" w:hAnsi="宋体" w:eastAsia="宋体" w:cs="宋体"/>
                <w:color w:val="auto"/>
                <w:sz w:val="24"/>
                <w:highlight w:val="none"/>
              </w:rPr>
            </w:pPr>
          </w:p>
        </w:tc>
      </w:tr>
      <w:tr w14:paraId="75E77C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trHeight w:val="608" w:hRule="atLeast"/>
        </w:trPr>
        <w:tc>
          <w:tcPr>
            <w:tcW w:w="1619" w:type="dxa"/>
            <w:gridSpan w:val="2"/>
            <w:tcBorders>
              <w:top w:val="single" w:color="auto" w:sz="6" w:space="0"/>
              <w:left w:val="double" w:color="auto" w:sz="4" w:space="0"/>
              <w:bottom w:val="single" w:color="auto" w:sz="6" w:space="0"/>
              <w:right w:val="single" w:color="auto" w:sz="6" w:space="0"/>
            </w:tcBorders>
            <w:vAlign w:val="center"/>
          </w:tcPr>
          <w:p w14:paraId="6E592CF1">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3963" w:type="dxa"/>
            <w:gridSpan w:val="5"/>
            <w:tcBorders>
              <w:top w:val="single" w:color="auto" w:sz="6" w:space="0"/>
              <w:left w:val="single" w:color="auto" w:sz="6" w:space="0"/>
              <w:bottom w:val="single" w:color="auto" w:sz="6" w:space="0"/>
              <w:right w:val="single" w:color="auto" w:sz="6" w:space="0"/>
            </w:tcBorders>
            <w:vAlign w:val="center"/>
          </w:tcPr>
          <w:p w14:paraId="08C9FD6F">
            <w:pPr>
              <w:topLinePunct/>
              <w:spacing w:line="440" w:lineRule="exact"/>
              <w:jc w:val="center"/>
              <w:rPr>
                <w:rFonts w:ascii="宋体" w:hAnsi="宋体" w:eastAsia="宋体" w:cs="宋体"/>
                <w:color w:val="auto"/>
                <w:sz w:val="24"/>
                <w:highlight w:val="none"/>
              </w:rPr>
            </w:pPr>
          </w:p>
        </w:tc>
        <w:tc>
          <w:tcPr>
            <w:tcW w:w="1838" w:type="dxa"/>
            <w:tcBorders>
              <w:top w:val="single" w:color="auto" w:sz="6" w:space="0"/>
              <w:left w:val="single" w:color="auto" w:sz="6" w:space="0"/>
              <w:bottom w:val="single" w:color="auto" w:sz="6" w:space="0"/>
              <w:right w:val="single" w:color="auto" w:sz="6" w:space="0"/>
            </w:tcBorders>
            <w:vAlign w:val="center"/>
          </w:tcPr>
          <w:p w14:paraId="32CFAF67">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581" w:type="dxa"/>
            <w:gridSpan w:val="2"/>
            <w:tcBorders>
              <w:top w:val="single" w:color="auto" w:sz="6" w:space="0"/>
              <w:left w:val="single" w:color="auto" w:sz="6" w:space="0"/>
              <w:bottom w:val="single" w:color="auto" w:sz="6" w:space="0"/>
              <w:right w:val="double" w:color="auto" w:sz="4" w:space="0"/>
            </w:tcBorders>
            <w:vAlign w:val="center"/>
          </w:tcPr>
          <w:p w14:paraId="69919FD4">
            <w:pPr>
              <w:topLinePunct/>
              <w:spacing w:line="440" w:lineRule="exact"/>
              <w:jc w:val="center"/>
              <w:rPr>
                <w:rFonts w:ascii="宋体" w:hAnsi="宋体" w:eastAsia="宋体" w:cs="宋体"/>
                <w:color w:val="auto"/>
                <w:sz w:val="24"/>
                <w:highlight w:val="none"/>
              </w:rPr>
            </w:pPr>
          </w:p>
        </w:tc>
      </w:tr>
      <w:tr w14:paraId="42E826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trHeight w:val="624" w:hRule="atLeast"/>
        </w:trPr>
        <w:tc>
          <w:tcPr>
            <w:tcW w:w="718" w:type="dxa"/>
            <w:vMerge w:val="restart"/>
            <w:tcBorders>
              <w:top w:val="single" w:color="auto" w:sz="6" w:space="0"/>
              <w:left w:val="double" w:color="auto" w:sz="4" w:space="0"/>
              <w:bottom w:val="single" w:color="auto" w:sz="6" w:space="0"/>
              <w:right w:val="single" w:color="auto" w:sz="6" w:space="0"/>
            </w:tcBorders>
            <w:vAlign w:val="center"/>
          </w:tcPr>
          <w:p w14:paraId="4383B560">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2043" w:type="dxa"/>
            <w:gridSpan w:val="2"/>
            <w:tcBorders>
              <w:top w:val="single" w:color="auto" w:sz="6" w:space="0"/>
              <w:left w:val="single" w:color="auto" w:sz="6" w:space="0"/>
              <w:bottom w:val="single" w:color="auto" w:sz="6" w:space="0"/>
              <w:right w:val="single" w:color="auto" w:sz="6" w:space="0"/>
            </w:tcBorders>
            <w:vAlign w:val="center"/>
          </w:tcPr>
          <w:p w14:paraId="739A25CE">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统一信用代码</w:t>
            </w:r>
          </w:p>
        </w:tc>
        <w:tc>
          <w:tcPr>
            <w:tcW w:w="1440" w:type="dxa"/>
            <w:gridSpan w:val="2"/>
            <w:tcBorders>
              <w:top w:val="single" w:color="auto" w:sz="6" w:space="0"/>
              <w:left w:val="single" w:color="auto" w:sz="6" w:space="0"/>
              <w:bottom w:val="single" w:color="auto" w:sz="6" w:space="0"/>
              <w:right w:val="single" w:color="auto" w:sz="6" w:space="0"/>
            </w:tcBorders>
            <w:vAlign w:val="center"/>
          </w:tcPr>
          <w:p w14:paraId="5FD28368">
            <w:pPr>
              <w:topLinePunct/>
              <w:spacing w:line="440" w:lineRule="exact"/>
              <w:jc w:val="center"/>
              <w:rPr>
                <w:rFonts w:ascii="宋体" w:hAnsi="宋体" w:eastAsia="宋体" w:cs="宋体"/>
                <w:color w:val="auto"/>
                <w:sz w:val="24"/>
                <w:highlight w:val="none"/>
              </w:rPr>
            </w:pPr>
          </w:p>
        </w:tc>
        <w:tc>
          <w:tcPr>
            <w:tcW w:w="1381" w:type="dxa"/>
            <w:gridSpan w:val="2"/>
            <w:tcBorders>
              <w:top w:val="single" w:color="auto" w:sz="6" w:space="0"/>
              <w:left w:val="single" w:color="auto" w:sz="6" w:space="0"/>
              <w:bottom w:val="single" w:color="auto" w:sz="6" w:space="0"/>
              <w:right w:val="single" w:color="auto" w:sz="6" w:space="0"/>
            </w:tcBorders>
            <w:vAlign w:val="center"/>
          </w:tcPr>
          <w:p w14:paraId="2A3E1CF9">
            <w:pPr>
              <w:topLinePunct/>
              <w:spacing w:line="440" w:lineRule="exact"/>
              <w:ind w:firstLine="120" w:firstLineChars="50"/>
              <w:jc w:val="center"/>
              <w:rPr>
                <w:rFonts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3419" w:type="dxa"/>
            <w:gridSpan w:val="3"/>
            <w:tcBorders>
              <w:top w:val="single" w:color="auto" w:sz="6" w:space="0"/>
              <w:left w:val="single" w:color="auto" w:sz="6" w:space="0"/>
              <w:bottom w:val="single" w:color="auto" w:sz="6" w:space="0"/>
              <w:right w:val="double" w:color="auto" w:sz="4" w:space="0"/>
            </w:tcBorders>
            <w:vAlign w:val="center"/>
          </w:tcPr>
          <w:p w14:paraId="436802AC">
            <w:pPr>
              <w:topLinePunct/>
              <w:spacing w:line="440" w:lineRule="exact"/>
              <w:ind w:firstLine="120" w:firstLineChars="50"/>
              <w:jc w:val="center"/>
              <w:rPr>
                <w:rFonts w:ascii="宋体" w:hAnsi="宋体" w:eastAsia="宋体" w:cs="宋体"/>
                <w:color w:val="auto"/>
                <w:sz w:val="24"/>
                <w:highlight w:val="none"/>
              </w:rPr>
            </w:pPr>
          </w:p>
        </w:tc>
      </w:tr>
      <w:tr w14:paraId="0C3F04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2"/>
          <w:wAfter w:w="34" w:type="dxa"/>
          <w:trHeight w:val="624" w:hRule="atLeast"/>
        </w:trPr>
        <w:tc>
          <w:tcPr>
            <w:tcW w:w="718" w:type="dxa"/>
            <w:vMerge w:val="continue"/>
            <w:tcBorders>
              <w:top w:val="single" w:color="auto" w:sz="6" w:space="0"/>
              <w:left w:val="double" w:color="auto" w:sz="4" w:space="0"/>
              <w:bottom w:val="single" w:color="auto" w:sz="6" w:space="0"/>
              <w:right w:val="single" w:color="auto" w:sz="6" w:space="0"/>
            </w:tcBorders>
            <w:vAlign w:val="center"/>
          </w:tcPr>
          <w:p w14:paraId="5D4CFE13">
            <w:pPr>
              <w:topLinePunct/>
              <w:spacing w:line="440" w:lineRule="exact"/>
              <w:jc w:val="center"/>
              <w:rPr>
                <w:rFonts w:ascii="宋体" w:hAnsi="宋体" w:eastAsia="宋体" w:cs="宋体"/>
                <w:color w:val="auto"/>
                <w:sz w:val="24"/>
                <w:highlight w:val="none"/>
              </w:rPr>
            </w:pPr>
          </w:p>
        </w:tc>
        <w:tc>
          <w:tcPr>
            <w:tcW w:w="2043" w:type="dxa"/>
            <w:gridSpan w:val="2"/>
            <w:tcBorders>
              <w:top w:val="single" w:color="auto" w:sz="6" w:space="0"/>
              <w:left w:val="single" w:color="auto" w:sz="6" w:space="0"/>
              <w:bottom w:val="single" w:color="auto" w:sz="6" w:space="0"/>
              <w:right w:val="single" w:color="auto" w:sz="6" w:space="0"/>
            </w:tcBorders>
            <w:vAlign w:val="center"/>
          </w:tcPr>
          <w:p w14:paraId="7A5FFE3E">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40" w:type="dxa"/>
            <w:gridSpan w:val="2"/>
            <w:tcBorders>
              <w:top w:val="single" w:color="auto" w:sz="6" w:space="0"/>
              <w:left w:val="single" w:color="auto" w:sz="6" w:space="0"/>
              <w:bottom w:val="single" w:color="auto" w:sz="6" w:space="0"/>
              <w:right w:val="single" w:color="auto" w:sz="6" w:space="0"/>
            </w:tcBorders>
            <w:vAlign w:val="center"/>
          </w:tcPr>
          <w:p w14:paraId="45FCAC61">
            <w:pPr>
              <w:topLinePunct/>
              <w:spacing w:line="440" w:lineRule="exact"/>
              <w:jc w:val="center"/>
              <w:rPr>
                <w:rFonts w:ascii="宋体" w:hAnsi="宋体" w:eastAsia="宋体" w:cs="宋体"/>
                <w:color w:val="auto"/>
                <w:sz w:val="24"/>
                <w:highlight w:val="none"/>
              </w:rPr>
            </w:pPr>
          </w:p>
        </w:tc>
        <w:tc>
          <w:tcPr>
            <w:tcW w:w="1381" w:type="dxa"/>
            <w:gridSpan w:val="2"/>
            <w:tcBorders>
              <w:top w:val="single" w:color="auto" w:sz="6" w:space="0"/>
              <w:left w:val="single" w:color="auto" w:sz="6" w:space="0"/>
              <w:bottom w:val="single" w:color="auto" w:sz="6" w:space="0"/>
              <w:right w:val="single" w:color="auto" w:sz="6" w:space="0"/>
            </w:tcBorders>
            <w:vAlign w:val="center"/>
          </w:tcPr>
          <w:p w14:paraId="7D6CCEA7">
            <w:pPr>
              <w:topLinePunct/>
              <w:spacing w:line="440" w:lineRule="exact"/>
              <w:ind w:firstLine="120" w:firstLineChars="50"/>
              <w:jc w:val="center"/>
              <w:rPr>
                <w:rFonts w:ascii="宋体" w:hAnsi="宋体" w:eastAsia="宋体" w:cs="宋体"/>
                <w:color w:val="auto"/>
                <w:sz w:val="24"/>
                <w:highlight w:val="none"/>
              </w:rPr>
            </w:pPr>
            <w:r>
              <w:rPr>
                <w:rFonts w:hint="eastAsia" w:ascii="宋体" w:hAnsi="宋体" w:eastAsia="宋体" w:cs="宋体"/>
                <w:color w:val="auto"/>
                <w:sz w:val="24"/>
                <w:highlight w:val="none"/>
              </w:rPr>
              <w:t>发证日期</w:t>
            </w:r>
          </w:p>
        </w:tc>
        <w:tc>
          <w:tcPr>
            <w:tcW w:w="3394" w:type="dxa"/>
            <w:gridSpan w:val="2"/>
            <w:tcBorders>
              <w:top w:val="single" w:color="auto" w:sz="6" w:space="0"/>
              <w:left w:val="single" w:color="auto" w:sz="6" w:space="0"/>
              <w:bottom w:val="single" w:color="auto" w:sz="6" w:space="0"/>
              <w:right w:val="double" w:color="auto" w:sz="4" w:space="0"/>
            </w:tcBorders>
            <w:vAlign w:val="center"/>
          </w:tcPr>
          <w:p w14:paraId="0F783DEC">
            <w:pPr>
              <w:topLinePunct/>
              <w:spacing w:line="440" w:lineRule="exact"/>
              <w:ind w:firstLine="120" w:firstLineChars="50"/>
              <w:jc w:val="center"/>
              <w:rPr>
                <w:rFonts w:ascii="宋体" w:hAnsi="宋体" w:eastAsia="宋体" w:cs="宋体"/>
                <w:color w:val="auto"/>
                <w:sz w:val="24"/>
                <w:highlight w:val="none"/>
              </w:rPr>
            </w:pPr>
          </w:p>
        </w:tc>
      </w:tr>
      <w:tr w14:paraId="4D7CB6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trHeight w:val="624" w:hRule="atLeast"/>
        </w:trPr>
        <w:tc>
          <w:tcPr>
            <w:tcW w:w="718" w:type="dxa"/>
            <w:vMerge w:val="continue"/>
            <w:tcBorders>
              <w:top w:val="single" w:color="auto" w:sz="6" w:space="0"/>
              <w:left w:val="double" w:color="auto" w:sz="4" w:space="0"/>
              <w:bottom w:val="single" w:color="auto" w:sz="6" w:space="0"/>
              <w:right w:val="single" w:color="auto" w:sz="6" w:space="0"/>
            </w:tcBorders>
            <w:vAlign w:val="center"/>
          </w:tcPr>
          <w:p w14:paraId="1B8A7C35">
            <w:pPr>
              <w:topLinePunct/>
              <w:spacing w:line="440" w:lineRule="exact"/>
              <w:jc w:val="center"/>
              <w:rPr>
                <w:rFonts w:ascii="宋体" w:hAnsi="宋体" w:eastAsia="宋体" w:cs="宋体"/>
                <w:color w:val="auto"/>
                <w:sz w:val="24"/>
                <w:highlight w:val="none"/>
              </w:rPr>
            </w:pPr>
          </w:p>
        </w:tc>
        <w:tc>
          <w:tcPr>
            <w:tcW w:w="2043" w:type="dxa"/>
            <w:gridSpan w:val="2"/>
            <w:tcBorders>
              <w:top w:val="single" w:color="auto" w:sz="6" w:space="0"/>
              <w:left w:val="single" w:color="auto" w:sz="6" w:space="0"/>
              <w:bottom w:val="single" w:color="auto" w:sz="6" w:space="0"/>
              <w:right w:val="single" w:color="auto" w:sz="6" w:space="0"/>
            </w:tcBorders>
            <w:vAlign w:val="center"/>
          </w:tcPr>
          <w:p w14:paraId="0AF9642B">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营业范围（主营）</w:t>
            </w:r>
          </w:p>
        </w:tc>
        <w:tc>
          <w:tcPr>
            <w:tcW w:w="6240" w:type="dxa"/>
            <w:gridSpan w:val="7"/>
            <w:tcBorders>
              <w:top w:val="single" w:color="auto" w:sz="6" w:space="0"/>
              <w:left w:val="single" w:color="auto" w:sz="6" w:space="0"/>
              <w:bottom w:val="single" w:color="auto" w:sz="6" w:space="0"/>
              <w:right w:val="double" w:color="auto" w:sz="4" w:space="0"/>
            </w:tcBorders>
            <w:vAlign w:val="center"/>
          </w:tcPr>
          <w:p w14:paraId="3E57456A">
            <w:pPr>
              <w:topLinePunct/>
              <w:spacing w:line="440" w:lineRule="exact"/>
              <w:ind w:firstLine="120" w:firstLineChars="50"/>
              <w:jc w:val="center"/>
              <w:rPr>
                <w:rFonts w:ascii="宋体" w:hAnsi="宋体" w:eastAsia="宋体" w:cs="宋体"/>
                <w:color w:val="auto"/>
                <w:sz w:val="24"/>
                <w:highlight w:val="none"/>
              </w:rPr>
            </w:pPr>
          </w:p>
        </w:tc>
      </w:tr>
      <w:tr w14:paraId="0763BE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trHeight w:val="624" w:hRule="atLeast"/>
        </w:trPr>
        <w:tc>
          <w:tcPr>
            <w:tcW w:w="718" w:type="dxa"/>
            <w:vMerge w:val="continue"/>
            <w:tcBorders>
              <w:top w:val="single" w:color="auto" w:sz="6" w:space="0"/>
              <w:left w:val="double" w:color="auto" w:sz="4" w:space="0"/>
              <w:bottom w:val="single" w:color="auto" w:sz="6" w:space="0"/>
              <w:right w:val="single" w:color="auto" w:sz="6" w:space="0"/>
            </w:tcBorders>
            <w:vAlign w:val="center"/>
          </w:tcPr>
          <w:p w14:paraId="682C3127">
            <w:pPr>
              <w:topLinePunct/>
              <w:spacing w:line="440" w:lineRule="exact"/>
              <w:jc w:val="center"/>
              <w:rPr>
                <w:rFonts w:ascii="宋体" w:hAnsi="宋体" w:eastAsia="宋体" w:cs="宋体"/>
                <w:color w:val="auto"/>
                <w:sz w:val="24"/>
                <w:highlight w:val="none"/>
              </w:rPr>
            </w:pPr>
          </w:p>
        </w:tc>
        <w:tc>
          <w:tcPr>
            <w:tcW w:w="2043" w:type="dxa"/>
            <w:gridSpan w:val="2"/>
            <w:tcBorders>
              <w:top w:val="single" w:color="auto" w:sz="6" w:space="0"/>
              <w:left w:val="single" w:color="auto" w:sz="6" w:space="0"/>
              <w:bottom w:val="single" w:color="auto" w:sz="6" w:space="0"/>
              <w:right w:val="single" w:color="auto" w:sz="6" w:space="0"/>
            </w:tcBorders>
            <w:vAlign w:val="center"/>
          </w:tcPr>
          <w:p w14:paraId="570E8FBF">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营业范围（兼营）</w:t>
            </w:r>
          </w:p>
        </w:tc>
        <w:tc>
          <w:tcPr>
            <w:tcW w:w="6240" w:type="dxa"/>
            <w:gridSpan w:val="7"/>
            <w:tcBorders>
              <w:top w:val="single" w:color="auto" w:sz="6" w:space="0"/>
              <w:left w:val="single" w:color="auto" w:sz="6" w:space="0"/>
              <w:bottom w:val="single" w:color="auto" w:sz="6" w:space="0"/>
              <w:right w:val="double" w:color="auto" w:sz="4" w:space="0"/>
            </w:tcBorders>
            <w:vAlign w:val="center"/>
          </w:tcPr>
          <w:p w14:paraId="0D97344B">
            <w:pPr>
              <w:topLinePunct/>
              <w:spacing w:line="440" w:lineRule="exact"/>
              <w:ind w:firstLine="120" w:firstLineChars="50"/>
              <w:jc w:val="center"/>
              <w:rPr>
                <w:rFonts w:ascii="宋体" w:hAnsi="宋体" w:eastAsia="宋体" w:cs="宋体"/>
                <w:color w:val="auto"/>
                <w:sz w:val="24"/>
                <w:highlight w:val="none"/>
              </w:rPr>
            </w:pPr>
          </w:p>
        </w:tc>
      </w:tr>
      <w:tr w14:paraId="28D3DC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58" w:hRule="atLeast"/>
        </w:trPr>
        <w:tc>
          <w:tcPr>
            <w:tcW w:w="2761" w:type="dxa"/>
            <w:gridSpan w:val="3"/>
            <w:tcBorders>
              <w:top w:val="single" w:color="auto" w:sz="6" w:space="0"/>
              <w:left w:val="double" w:color="auto" w:sz="4" w:space="0"/>
              <w:bottom w:val="single" w:color="auto" w:sz="6" w:space="0"/>
              <w:right w:val="single" w:color="auto" w:sz="6" w:space="0"/>
            </w:tcBorders>
            <w:vAlign w:val="center"/>
          </w:tcPr>
          <w:p w14:paraId="2E064B63">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基本账户开户行及账号</w:t>
            </w:r>
          </w:p>
        </w:tc>
        <w:tc>
          <w:tcPr>
            <w:tcW w:w="6240" w:type="dxa"/>
            <w:gridSpan w:val="7"/>
            <w:tcBorders>
              <w:top w:val="single" w:color="auto" w:sz="6" w:space="0"/>
              <w:left w:val="single" w:color="auto" w:sz="6" w:space="0"/>
              <w:bottom w:val="single" w:color="auto" w:sz="6" w:space="0"/>
              <w:right w:val="double" w:color="auto" w:sz="4" w:space="0"/>
            </w:tcBorders>
            <w:vAlign w:val="center"/>
          </w:tcPr>
          <w:p w14:paraId="6A9A2B79">
            <w:pPr>
              <w:topLinePunct/>
              <w:spacing w:line="440" w:lineRule="exact"/>
              <w:jc w:val="center"/>
              <w:rPr>
                <w:rFonts w:ascii="宋体" w:hAnsi="宋体" w:eastAsia="宋体" w:cs="宋体"/>
                <w:color w:val="auto"/>
                <w:sz w:val="24"/>
                <w:highlight w:val="none"/>
              </w:rPr>
            </w:pPr>
          </w:p>
        </w:tc>
      </w:tr>
      <w:tr w14:paraId="740C01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58" w:hRule="atLeast"/>
        </w:trPr>
        <w:tc>
          <w:tcPr>
            <w:tcW w:w="2761" w:type="dxa"/>
            <w:gridSpan w:val="3"/>
            <w:tcBorders>
              <w:top w:val="single" w:color="auto" w:sz="6" w:space="0"/>
              <w:left w:val="double" w:color="auto" w:sz="4" w:space="0"/>
              <w:bottom w:val="single" w:color="auto" w:sz="6" w:space="0"/>
              <w:right w:val="single" w:color="auto" w:sz="6" w:space="0"/>
            </w:tcBorders>
            <w:vAlign w:val="center"/>
          </w:tcPr>
          <w:p w14:paraId="2955F049">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6240" w:type="dxa"/>
            <w:gridSpan w:val="7"/>
            <w:tcBorders>
              <w:top w:val="single" w:color="auto" w:sz="6" w:space="0"/>
              <w:left w:val="single" w:color="auto" w:sz="6" w:space="0"/>
              <w:bottom w:val="single" w:color="auto" w:sz="6" w:space="0"/>
              <w:right w:val="double" w:color="auto" w:sz="4" w:space="0"/>
            </w:tcBorders>
            <w:vAlign w:val="center"/>
          </w:tcPr>
          <w:p w14:paraId="03DEC813">
            <w:pPr>
              <w:topLinePunct/>
              <w:spacing w:line="440" w:lineRule="exact"/>
              <w:jc w:val="center"/>
              <w:rPr>
                <w:rFonts w:ascii="宋体" w:hAnsi="宋体" w:eastAsia="宋体" w:cs="宋体"/>
                <w:color w:val="auto"/>
                <w:sz w:val="24"/>
                <w:highlight w:val="none"/>
              </w:rPr>
            </w:pPr>
          </w:p>
        </w:tc>
      </w:tr>
      <w:tr w14:paraId="66A003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04" w:hRule="atLeast"/>
        </w:trPr>
        <w:tc>
          <w:tcPr>
            <w:tcW w:w="3616" w:type="dxa"/>
            <w:gridSpan w:val="4"/>
            <w:tcBorders>
              <w:top w:val="single" w:color="auto" w:sz="6" w:space="0"/>
              <w:left w:val="double" w:color="auto" w:sz="4" w:space="0"/>
              <w:bottom w:val="single" w:color="auto" w:sz="6" w:space="0"/>
              <w:right w:val="single" w:color="auto" w:sz="6" w:space="0"/>
            </w:tcBorders>
            <w:vAlign w:val="center"/>
          </w:tcPr>
          <w:p w14:paraId="17966576">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884" w:type="dxa"/>
            <w:gridSpan w:val="2"/>
            <w:tcBorders>
              <w:top w:val="single" w:color="auto" w:sz="6" w:space="0"/>
              <w:left w:val="single" w:color="auto" w:sz="6" w:space="0"/>
              <w:bottom w:val="single" w:color="auto" w:sz="6" w:space="0"/>
              <w:right w:val="single" w:color="auto" w:sz="6" w:space="0"/>
            </w:tcBorders>
            <w:vAlign w:val="center"/>
          </w:tcPr>
          <w:p w14:paraId="7BF98009">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82" w:type="dxa"/>
            <w:tcBorders>
              <w:top w:val="single" w:color="auto" w:sz="6" w:space="0"/>
              <w:left w:val="single" w:color="auto" w:sz="6" w:space="0"/>
              <w:bottom w:val="single" w:color="auto" w:sz="6" w:space="0"/>
              <w:right w:val="single" w:color="auto" w:sz="6" w:space="0"/>
            </w:tcBorders>
            <w:vAlign w:val="center"/>
          </w:tcPr>
          <w:p w14:paraId="00CF667F">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3419" w:type="dxa"/>
            <w:gridSpan w:val="3"/>
            <w:tcBorders>
              <w:top w:val="single" w:color="auto" w:sz="6" w:space="0"/>
              <w:left w:val="single" w:color="auto" w:sz="6" w:space="0"/>
              <w:bottom w:val="single" w:color="auto" w:sz="6" w:space="0"/>
              <w:right w:val="double" w:color="auto" w:sz="4" w:space="0"/>
            </w:tcBorders>
            <w:vAlign w:val="center"/>
          </w:tcPr>
          <w:p w14:paraId="26557BB9">
            <w:pPr>
              <w:topLinePunct/>
              <w:spacing w:line="440" w:lineRule="exact"/>
              <w:jc w:val="center"/>
              <w:rPr>
                <w:rFonts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7FE122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26" w:hRule="atLeast"/>
        </w:trPr>
        <w:tc>
          <w:tcPr>
            <w:tcW w:w="3616" w:type="dxa"/>
            <w:gridSpan w:val="4"/>
            <w:tcBorders>
              <w:top w:val="single" w:color="auto" w:sz="6" w:space="0"/>
              <w:left w:val="double" w:color="auto" w:sz="4" w:space="0"/>
              <w:bottom w:val="single" w:color="auto" w:sz="6" w:space="0"/>
              <w:right w:val="single" w:color="auto" w:sz="6" w:space="0"/>
            </w:tcBorders>
            <w:vAlign w:val="center"/>
          </w:tcPr>
          <w:p w14:paraId="244E7E75">
            <w:pPr>
              <w:topLinePunct/>
              <w:spacing w:line="440" w:lineRule="exact"/>
              <w:jc w:val="center"/>
              <w:rPr>
                <w:rFonts w:ascii="宋体" w:hAnsi="宋体" w:eastAsia="宋体" w:cs="宋体"/>
                <w:color w:val="auto"/>
                <w:sz w:val="24"/>
                <w:highlight w:val="none"/>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14:paraId="2A6FF00A">
            <w:pPr>
              <w:topLinePunct/>
              <w:spacing w:line="440" w:lineRule="exact"/>
              <w:jc w:val="center"/>
              <w:rPr>
                <w:rFonts w:ascii="宋体" w:hAnsi="宋体" w:eastAsia="宋体" w:cs="宋体"/>
                <w:color w:val="auto"/>
                <w:sz w:val="24"/>
                <w:highlight w:val="none"/>
              </w:rPr>
            </w:pPr>
          </w:p>
        </w:tc>
        <w:tc>
          <w:tcPr>
            <w:tcW w:w="1082" w:type="dxa"/>
            <w:tcBorders>
              <w:top w:val="single" w:color="auto" w:sz="6" w:space="0"/>
              <w:left w:val="single" w:color="auto" w:sz="6" w:space="0"/>
              <w:bottom w:val="single" w:color="auto" w:sz="6" w:space="0"/>
              <w:right w:val="single" w:color="auto" w:sz="6" w:space="0"/>
            </w:tcBorders>
            <w:vAlign w:val="center"/>
          </w:tcPr>
          <w:p w14:paraId="5ECA3114">
            <w:pPr>
              <w:topLinePunct/>
              <w:spacing w:line="440" w:lineRule="exact"/>
              <w:jc w:val="center"/>
              <w:rPr>
                <w:rFonts w:ascii="宋体" w:hAnsi="宋体" w:eastAsia="宋体" w:cs="宋体"/>
                <w:color w:val="auto"/>
                <w:sz w:val="24"/>
                <w:highlight w:val="none"/>
              </w:rPr>
            </w:pPr>
          </w:p>
        </w:tc>
        <w:tc>
          <w:tcPr>
            <w:tcW w:w="3419" w:type="dxa"/>
            <w:gridSpan w:val="3"/>
            <w:tcBorders>
              <w:top w:val="single" w:color="auto" w:sz="6" w:space="0"/>
              <w:left w:val="single" w:color="auto" w:sz="6" w:space="0"/>
              <w:bottom w:val="single" w:color="auto" w:sz="6" w:space="0"/>
              <w:right w:val="double" w:color="auto" w:sz="4" w:space="0"/>
            </w:tcBorders>
            <w:vAlign w:val="center"/>
          </w:tcPr>
          <w:p w14:paraId="283524A0">
            <w:pPr>
              <w:topLinePunct/>
              <w:spacing w:line="440" w:lineRule="exact"/>
              <w:jc w:val="center"/>
              <w:rPr>
                <w:rFonts w:ascii="宋体" w:hAnsi="宋体" w:eastAsia="宋体" w:cs="宋体"/>
                <w:color w:val="auto"/>
                <w:sz w:val="24"/>
                <w:highlight w:val="none"/>
              </w:rPr>
            </w:pPr>
          </w:p>
        </w:tc>
      </w:tr>
      <w:tr w14:paraId="70ED66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9" w:type="dxa"/>
          <w:cantSplit/>
          <w:trHeight w:val="626" w:hRule="atLeast"/>
        </w:trPr>
        <w:tc>
          <w:tcPr>
            <w:tcW w:w="3616" w:type="dxa"/>
            <w:gridSpan w:val="4"/>
            <w:tcBorders>
              <w:top w:val="single" w:color="auto" w:sz="6" w:space="0"/>
              <w:left w:val="double" w:color="auto" w:sz="4" w:space="0"/>
              <w:bottom w:val="single" w:color="auto" w:sz="6" w:space="0"/>
              <w:right w:val="single" w:color="auto" w:sz="6" w:space="0"/>
            </w:tcBorders>
            <w:vAlign w:val="center"/>
          </w:tcPr>
          <w:p w14:paraId="584C7FDD">
            <w:pPr>
              <w:topLinePunct/>
              <w:spacing w:line="440" w:lineRule="exact"/>
              <w:jc w:val="center"/>
              <w:rPr>
                <w:rFonts w:ascii="宋体" w:hAnsi="宋体" w:eastAsia="宋体" w:cs="宋体"/>
                <w:color w:val="auto"/>
                <w:sz w:val="24"/>
                <w:highlight w:val="none"/>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14:paraId="3D307370">
            <w:pPr>
              <w:topLinePunct/>
              <w:spacing w:line="440" w:lineRule="exact"/>
              <w:jc w:val="center"/>
              <w:rPr>
                <w:rFonts w:ascii="宋体" w:hAnsi="宋体" w:eastAsia="宋体" w:cs="宋体"/>
                <w:color w:val="auto"/>
                <w:sz w:val="24"/>
                <w:highlight w:val="none"/>
              </w:rPr>
            </w:pPr>
          </w:p>
        </w:tc>
        <w:tc>
          <w:tcPr>
            <w:tcW w:w="1082" w:type="dxa"/>
            <w:tcBorders>
              <w:top w:val="single" w:color="auto" w:sz="6" w:space="0"/>
              <w:left w:val="single" w:color="auto" w:sz="6" w:space="0"/>
              <w:bottom w:val="single" w:color="auto" w:sz="6" w:space="0"/>
              <w:right w:val="single" w:color="auto" w:sz="6" w:space="0"/>
            </w:tcBorders>
            <w:vAlign w:val="center"/>
          </w:tcPr>
          <w:p w14:paraId="0C6D10E6">
            <w:pPr>
              <w:topLinePunct/>
              <w:spacing w:line="440" w:lineRule="exact"/>
              <w:jc w:val="center"/>
              <w:rPr>
                <w:rFonts w:ascii="宋体" w:hAnsi="宋体" w:eastAsia="宋体" w:cs="宋体"/>
                <w:color w:val="auto"/>
                <w:sz w:val="24"/>
                <w:highlight w:val="none"/>
              </w:rPr>
            </w:pPr>
          </w:p>
        </w:tc>
        <w:tc>
          <w:tcPr>
            <w:tcW w:w="3419" w:type="dxa"/>
            <w:gridSpan w:val="3"/>
            <w:tcBorders>
              <w:top w:val="single" w:color="auto" w:sz="6" w:space="0"/>
              <w:left w:val="single" w:color="auto" w:sz="6" w:space="0"/>
              <w:bottom w:val="single" w:color="auto" w:sz="6" w:space="0"/>
              <w:right w:val="double" w:color="auto" w:sz="4" w:space="0"/>
            </w:tcBorders>
            <w:vAlign w:val="center"/>
          </w:tcPr>
          <w:p w14:paraId="6ECC1FDC">
            <w:pPr>
              <w:topLinePunct/>
              <w:spacing w:line="440" w:lineRule="exact"/>
              <w:jc w:val="center"/>
              <w:rPr>
                <w:rFonts w:ascii="宋体" w:hAnsi="宋体" w:eastAsia="宋体" w:cs="宋体"/>
                <w:color w:val="auto"/>
                <w:sz w:val="24"/>
                <w:highlight w:val="none"/>
              </w:rPr>
            </w:pPr>
          </w:p>
        </w:tc>
      </w:tr>
    </w:tbl>
    <w:p w14:paraId="72AE771C">
      <w:pPr>
        <w:overflowPunct w:val="0"/>
        <w:spacing w:line="360" w:lineRule="auto"/>
        <w:jc w:val="center"/>
        <w:rPr>
          <w:rFonts w:ascii="宋体" w:hAnsi="宋体" w:eastAsia="宋体" w:cs="宋体"/>
          <w:b/>
          <w:color w:val="auto"/>
          <w:sz w:val="32"/>
          <w:szCs w:val="32"/>
          <w:highlight w:val="none"/>
        </w:rPr>
      </w:pPr>
    </w:p>
    <w:p w14:paraId="68E7AA90">
      <w:pPr>
        <w:wordWrap w:val="0"/>
        <w:adjustRightInd w:val="0"/>
        <w:snapToGrid w:val="0"/>
        <w:spacing w:beforeLines="50" w:line="460" w:lineRule="exact"/>
        <w:ind w:firstLine="482" w:firstLineChars="200"/>
        <w:jc w:val="center"/>
        <w:rPr>
          <w:rFonts w:ascii="宋体" w:hAnsi="宋体" w:eastAsia="宋体" w:cs="宋体"/>
          <w:bCs/>
          <w:color w:val="auto"/>
          <w:sz w:val="24"/>
          <w:highlight w:val="none"/>
        </w:rPr>
      </w:pPr>
      <w:r>
        <w:rPr>
          <w:rFonts w:hint="eastAsia" w:ascii="宋体" w:hAnsi="宋体" w:eastAsia="宋体" w:cs="宋体"/>
          <w:b/>
          <w:color w:val="auto"/>
          <w:sz w:val="24"/>
          <w:highlight w:val="none"/>
        </w:rPr>
        <w:t>（2）</w:t>
      </w:r>
      <w:r>
        <w:rPr>
          <w:rFonts w:hint="eastAsia" w:ascii="宋体" w:hAnsi="宋体" w:eastAsia="宋体" w:cs="宋体"/>
          <w:b/>
          <w:bCs/>
          <w:color w:val="auto"/>
          <w:sz w:val="24"/>
          <w:highlight w:val="none"/>
        </w:rPr>
        <w:t>供应商相关满足资格条件相关资料复印件。</w:t>
      </w:r>
    </w:p>
    <w:p w14:paraId="58035890">
      <w:pPr>
        <w:overflowPunct w:val="0"/>
        <w:spacing w:line="360" w:lineRule="auto"/>
        <w:jc w:val="center"/>
        <w:rPr>
          <w:rFonts w:ascii="宋体" w:hAnsi="宋体" w:eastAsia="宋体" w:cs="宋体"/>
          <w:b/>
          <w:color w:val="auto"/>
          <w:sz w:val="32"/>
          <w:szCs w:val="32"/>
          <w:highlight w:val="none"/>
        </w:rPr>
      </w:pPr>
    </w:p>
    <w:p w14:paraId="054F7C0D">
      <w:pPr>
        <w:spacing w:line="480" w:lineRule="exact"/>
        <w:rPr>
          <w:rFonts w:ascii="宋体" w:hAnsi="宋体" w:eastAsia="宋体" w:cs="宋体"/>
          <w:color w:val="auto"/>
          <w:sz w:val="30"/>
          <w:szCs w:val="30"/>
          <w:highlight w:val="none"/>
        </w:rPr>
      </w:pPr>
    </w:p>
    <w:p w14:paraId="2EB8E301">
      <w:pPr>
        <w:spacing w:line="480" w:lineRule="exact"/>
        <w:rPr>
          <w:rFonts w:ascii="宋体" w:hAnsi="宋体" w:eastAsia="宋体" w:cs="宋体"/>
          <w:color w:val="auto"/>
          <w:sz w:val="30"/>
          <w:szCs w:val="30"/>
          <w:highlight w:val="none"/>
        </w:rPr>
      </w:pPr>
    </w:p>
    <w:p w14:paraId="14339CC2">
      <w:pPr>
        <w:spacing w:line="480" w:lineRule="exact"/>
        <w:rPr>
          <w:rFonts w:ascii="宋体" w:hAnsi="宋体" w:eastAsia="宋体" w:cs="宋体"/>
          <w:color w:val="auto"/>
          <w:sz w:val="30"/>
          <w:szCs w:val="30"/>
          <w:highlight w:val="none"/>
        </w:rPr>
      </w:pPr>
    </w:p>
    <w:p w14:paraId="380A146E">
      <w:pPr>
        <w:adjustRightInd w:val="0"/>
        <w:snapToGrid w:val="0"/>
        <w:spacing w:line="360" w:lineRule="auto"/>
        <w:outlineLvl w:val="0"/>
        <w:rPr>
          <w:rFonts w:ascii="宋体" w:hAnsi="宋体" w:eastAsia="宋体" w:cs="宋体"/>
          <w:b/>
          <w:color w:val="auto"/>
          <w:sz w:val="24"/>
          <w:highlight w:val="none"/>
        </w:rPr>
      </w:pPr>
    </w:p>
    <w:p w14:paraId="22B9390F">
      <w:pPr>
        <w:spacing w:line="420" w:lineRule="exact"/>
        <w:ind w:firstLine="472" w:firstLineChars="200"/>
        <w:rPr>
          <w:rFonts w:ascii="宋体" w:hAnsi="宋体" w:eastAsia="宋体" w:cs="宋体"/>
          <w:color w:val="auto"/>
          <w:spacing w:val="-2"/>
          <w:sz w:val="24"/>
          <w:highlight w:val="none"/>
        </w:rPr>
        <w:sectPr>
          <w:footerReference r:id="rId10" w:type="first"/>
          <w:footerReference r:id="rId9" w:type="default"/>
          <w:pgSz w:w="11905" w:h="16838"/>
          <w:pgMar w:top="1531" w:right="1531" w:bottom="1531" w:left="1531" w:header="850" w:footer="992" w:gutter="0"/>
          <w:cols w:space="0" w:num="1"/>
          <w:docGrid w:type="lines" w:linePitch="315" w:charSpace="0"/>
        </w:sectPr>
      </w:pPr>
    </w:p>
    <w:p w14:paraId="30EBFF64">
      <w:pPr>
        <w:spacing w:line="420" w:lineRule="exact"/>
        <w:jc w:val="center"/>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七、投标人认为需要提供的其它资料</w:t>
      </w:r>
    </w:p>
    <w:p w14:paraId="6EEACC09">
      <w:pPr>
        <w:rPr>
          <w:rFonts w:ascii="宋体" w:hAnsi="宋体" w:eastAsia="宋体" w:cs="宋体"/>
          <w:color w:val="auto"/>
          <w:sz w:val="32"/>
          <w:highlight w:val="none"/>
        </w:rPr>
      </w:pPr>
    </w:p>
    <w:p w14:paraId="7A81520E">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color w:val="auto"/>
          <w:highlight w:val="none"/>
        </w:rPr>
      </w:pPr>
    </w:p>
    <w:sectPr>
      <w:footerReference r:id="rId12" w:type="first"/>
      <w:footerReference r:id="rId11" w:type="default"/>
      <w:pgSz w:w="11905" w:h="16838"/>
      <w:pgMar w:top="1531" w:right="1531" w:bottom="1531" w:left="1531" w:header="850" w:footer="992" w:gutter="0"/>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84FB55">
    <w:pPr>
      <w:tabs>
        <w:tab w:val="center" w:pos="4320"/>
        <w:tab w:val="right" w:pos="8640"/>
      </w:tabs>
      <w:snapToGrid w:val="0"/>
      <w:jc w:val="center"/>
      <w:rPr>
        <w:rFonts w:ascii="仿宋_GB2312" w:hAnsi="Calibri" w:eastAsia="仿宋_GB2312" w:cs="Times New Roman"/>
        <w:sz w:val="18"/>
        <w:szCs w:val="18"/>
      </w:rPr>
    </w:pPr>
    <w:r>
      <w:rPr>
        <w:rFonts w:ascii="仿宋_GB2312" w:hAnsi="Calibri" w:eastAsia="仿宋_GB2312" w:cs="Times New Roman"/>
        <w:sz w:val="18"/>
        <w:szCs w:val="18"/>
      </w:rPr>
      <w:fldChar w:fldCharType="begin"/>
    </w:r>
    <w:r>
      <w:rPr>
        <w:rFonts w:ascii="仿宋_GB2312" w:hAnsi="Calibri" w:eastAsia="仿宋_GB2312" w:cs="Times New Roman"/>
        <w:sz w:val="18"/>
        <w:szCs w:val="18"/>
      </w:rPr>
      <w:instrText xml:space="preserve"> PAGE   \* MERGEFORMAT </w:instrText>
    </w:r>
    <w:r>
      <w:rPr>
        <w:rFonts w:ascii="仿宋_GB2312" w:hAnsi="Calibri" w:eastAsia="仿宋_GB2312" w:cs="Times New Roman"/>
        <w:sz w:val="18"/>
        <w:szCs w:val="18"/>
      </w:rPr>
      <w:fldChar w:fldCharType="separate"/>
    </w:r>
    <w:r>
      <w:rPr>
        <w:rFonts w:ascii="仿宋_GB2312" w:hAnsi="Calibri" w:eastAsia="仿宋_GB2312" w:cs="Times New Roman"/>
        <w:sz w:val="18"/>
        <w:szCs w:val="18"/>
        <w:lang w:val="zh-CN"/>
      </w:rPr>
      <w:t>15</w:t>
    </w:r>
    <w:r>
      <w:rPr>
        <w:rFonts w:ascii="仿宋_GB2312" w:hAnsi="Calibri" w:eastAsia="仿宋_GB2312" w:cs="Times New Roman"/>
        <w:sz w:val="18"/>
        <w:szCs w:val="18"/>
      </w:rPr>
      <w:fldChar w:fldCharType="end"/>
    </w:r>
  </w:p>
  <w:p w14:paraId="7CAD6E4C">
    <w:pPr>
      <w:tabs>
        <w:tab w:val="center" w:pos="4320"/>
        <w:tab w:val="right" w:pos="8640"/>
      </w:tabs>
      <w:snapToGrid w:val="0"/>
      <w:jc w:val="left"/>
      <w:rPr>
        <w:rFonts w:ascii="仿宋_GB2312" w:hAnsi="Calibri" w:eastAsia="仿宋_GB2312"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937A35">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28C3FE">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718050">
    <w:pPr>
      <w:snapToGrid w:val="0"/>
      <w:jc w:val="left"/>
      <w:rPr>
        <w:rFonts w:ascii="仿宋_GB2312" w:hAnsi="Calibri" w:eastAsia="仿宋_GB2312" w:cs="Times New Roman"/>
        <w:sz w:val="18"/>
        <w:szCs w:val="18"/>
      </w:rPr>
    </w:pPr>
    <w:r>
      <w:rPr>
        <w:rFonts w:ascii="仿宋_GB2312" w:hAnsi="Calibri" w:eastAsia="仿宋_GB2312" w:cs="Times New Roman"/>
        <w:sz w:val="18"/>
        <w:szCs w:val="18"/>
      </w:rP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path/>
          <v:fill on="f" focussize="0,0"/>
          <v:stroke on="f" weight="1.25pt" joinstyle="miter"/>
          <v:imagedata o:title=""/>
          <o:lock v:ext="edit"/>
          <v:textbox inset="0mm,0mm,0mm,0mm" style="mso-fit-shape-to-text:t;">
            <w:txbxContent>
              <w:p w14:paraId="03858ADC">
                <w:pPr>
                  <w:snapToGrid w:val="0"/>
                  <w:jc w:val="left"/>
                  <w:rPr>
                    <w:rFonts w:ascii="仿宋_GB2312" w:hAnsi="Calibri" w:eastAsia="仿宋_GB2312" w:cs="Times New Roman"/>
                    <w:sz w:val="18"/>
                    <w:szCs w:val="18"/>
                  </w:rPr>
                </w:pPr>
                <w:r>
                  <w:rPr>
                    <w:rFonts w:hint="eastAsia" w:ascii="仿宋_GB2312" w:hAnsi="Calibri" w:eastAsia="仿宋_GB2312" w:cs="Times New Roman"/>
                    <w:sz w:val="18"/>
                    <w:szCs w:val="18"/>
                  </w:rPr>
                  <w:fldChar w:fldCharType="begin"/>
                </w:r>
                <w:r>
                  <w:rPr>
                    <w:rFonts w:hint="eastAsia" w:ascii="仿宋_GB2312" w:hAnsi="Calibri" w:eastAsia="仿宋_GB2312" w:cs="Times New Roman"/>
                    <w:sz w:val="18"/>
                    <w:szCs w:val="18"/>
                  </w:rPr>
                  <w:instrText xml:space="preserve"> PAGE  \* MERGEFORMAT </w:instrText>
                </w:r>
                <w:r>
                  <w:rPr>
                    <w:rFonts w:hint="eastAsia" w:ascii="仿宋_GB2312" w:hAnsi="Calibri" w:eastAsia="仿宋_GB2312" w:cs="Times New Roman"/>
                    <w:sz w:val="18"/>
                    <w:szCs w:val="18"/>
                  </w:rPr>
                  <w:fldChar w:fldCharType="separate"/>
                </w:r>
                <w:r>
                  <w:rPr>
                    <w:rFonts w:ascii="仿宋_GB2312" w:hAnsi="Calibri" w:eastAsia="仿宋_GB2312" w:cs="Times New Roman"/>
                    <w:sz w:val="18"/>
                    <w:szCs w:val="18"/>
                  </w:rPr>
                  <w:t>16</w:t>
                </w:r>
                <w:r>
                  <w:rPr>
                    <w:rFonts w:hint="eastAsia" w:ascii="仿宋_GB2312" w:hAnsi="Calibri" w:eastAsia="仿宋_GB2312" w:cs="Times New Roman"/>
                    <w:sz w:val="18"/>
                    <w:szCs w:val="18"/>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94535">
    <w:pPr>
      <w:snapToGrid w:val="0"/>
      <w:jc w:val="left"/>
      <w:rPr>
        <w:rFonts w:ascii="仿宋_GB2312" w:hAnsi="Calibri" w:eastAsia="仿宋_GB2312" w:cs="Times New Roman"/>
        <w:sz w:val="18"/>
        <w:szCs w:val="18"/>
      </w:rPr>
    </w:pPr>
    <w:r>
      <w:rPr>
        <w:rFonts w:ascii="仿宋_GB2312" w:hAnsi="Calibri" w:eastAsia="仿宋_GB2312" w:cs="Times New Roman"/>
        <w:sz w:val="18"/>
        <w:szCs w:val="18"/>
      </w:rPr>
      <w:pict>
        <v:shape id="_x0000_s2051" o:spid="_x0000_s2051"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path/>
          <v:fill on="f" focussize="0,0"/>
          <v:stroke on="f" weight="1.25pt" joinstyle="miter"/>
          <v:imagedata o:title=""/>
          <o:lock v:ext="edit"/>
          <v:textbox inset="0mm,0mm,0mm,0mm" style="mso-fit-shape-to-text:t;">
            <w:txbxContent>
              <w:p w14:paraId="5BBEE33E">
                <w:pPr>
                  <w:snapToGrid w:val="0"/>
                  <w:jc w:val="left"/>
                  <w:rPr>
                    <w:rFonts w:ascii="仿宋_GB2312" w:hAnsi="Calibri" w:eastAsia="仿宋_GB2312" w:cs="Times New Roman"/>
                    <w:sz w:val="18"/>
                    <w:szCs w:val="18"/>
                  </w:rPr>
                </w:pPr>
                <w:r>
                  <w:rPr>
                    <w:rFonts w:ascii="仿宋_GB2312" w:hAnsi="Calibri" w:eastAsia="仿宋_GB2312" w:cs="Times New Roman"/>
                    <w:sz w:val="18"/>
                    <w:szCs w:val="18"/>
                  </w:rPr>
                  <w:fldChar w:fldCharType="begin"/>
                </w:r>
                <w:r>
                  <w:rPr>
                    <w:rFonts w:ascii="仿宋_GB2312" w:hAnsi="Calibri" w:eastAsia="仿宋_GB2312" w:cs="Times New Roman"/>
                    <w:sz w:val="18"/>
                    <w:szCs w:val="18"/>
                  </w:rPr>
                  <w:instrText xml:space="preserve"> PAGE  \* MERGEFORMAT </w:instrText>
                </w:r>
                <w:r>
                  <w:rPr>
                    <w:rFonts w:ascii="仿宋_GB2312" w:hAnsi="Calibri" w:eastAsia="仿宋_GB2312" w:cs="Times New Roman"/>
                    <w:sz w:val="18"/>
                    <w:szCs w:val="18"/>
                  </w:rPr>
                  <w:fldChar w:fldCharType="separate"/>
                </w:r>
                <w:r>
                  <w:rPr>
                    <w:rFonts w:ascii="仿宋_GB2312" w:hAnsi="Calibri" w:eastAsia="仿宋_GB2312" w:cs="Times New Roman"/>
                    <w:sz w:val="18"/>
                    <w:szCs w:val="18"/>
                  </w:rPr>
                  <w:t>1</w:t>
                </w:r>
                <w:r>
                  <w:rPr>
                    <w:rFonts w:ascii="仿宋_GB2312" w:hAnsi="Calibri" w:eastAsia="仿宋_GB2312" w:cs="Times New Roman"/>
                    <w:sz w:val="18"/>
                    <w:szCs w:val="18"/>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120A8A">
    <w:pPr>
      <w:tabs>
        <w:tab w:val="center" w:pos="4153"/>
        <w:tab w:val="right" w:pos="8306"/>
      </w:tabs>
      <w:snapToGrid w:val="0"/>
      <w:ind w:right="360"/>
      <w:jc w:val="center"/>
      <w:rPr>
        <w:rFonts w:ascii="宋体" w:hAnsi="宋体" w:eastAsia="宋体" w:cs="宋体"/>
        <w:szCs w:val="21"/>
      </w:rPr>
    </w:pPr>
    <w:r>
      <w:rPr>
        <w:rFonts w:ascii="仿宋_GB2312" w:hAnsi="Calibri" w:eastAsia="仿宋_GB2312" w:cs="Times New Roman"/>
        <w:sz w:val="18"/>
        <w:szCs w:val="18"/>
      </w:rPr>
      <w:fldChar w:fldCharType="begin"/>
    </w:r>
    <w:r>
      <w:rPr>
        <w:rFonts w:ascii="仿宋_GB2312" w:hAnsi="Times New Roman" w:eastAsia="仿宋_GB2312" w:cs="Times New Roman"/>
        <w:sz w:val="32"/>
      </w:rPr>
      <w:instrText xml:space="preserve"> PAGE </w:instrText>
    </w:r>
    <w:r>
      <w:rPr>
        <w:rFonts w:ascii="仿宋_GB2312" w:hAnsi="Calibri" w:eastAsia="仿宋_GB2312" w:cs="Times New Roman"/>
        <w:sz w:val="18"/>
        <w:szCs w:val="18"/>
      </w:rPr>
      <w:fldChar w:fldCharType="separate"/>
    </w:r>
    <w:r>
      <w:rPr>
        <w:rFonts w:ascii="仿宋_GB2312" w:hAnsi="Times New Roman" w:eastAsia="仿宋_GB2312" w:cs="Times New Roman"/>
        <w:sz w:val="32"/>
      </w:rPr>
      <w:t>23</w:t>
    </w:r>
    <w:r>
      <w:rPr>
        <w:rFonts w:ascii="仿宋_GB2312" w:hAnsi="Calibri" w:eastAsia="仿宋_GB2312" w:cs="Times New Roman"/>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67CD0">
    <w:pPr>
      <w:tabs>
        <w:tab w:val="center" w:pos="7106"/>
      </w:tabs>
      <w:snapToGrid w:val="0"/>
      <w:ind w:right="360"/>
      <w:jc w:val="left"/>
      <w:rPr>
        <w:rFonts w:ascii="仿宋_GB2312" w:hAnsi="Calibri" w:eastAsia="仿宋_GB2312" w:cs="Times New Roman"/>
        <w:sz w:val="18"/>
        <w:szCs w:val="18"/>
      </w:rPr>
    </w:pPr>
    <w:r>
      <w:rPr>
        <w:rFonts w:ascii="仿宋_GB2312" w:hAnsi="Calibri" w:eastAsia="仿宋_GB2312" w:cs="Times New Roman"/>
        <w:sz w:val="18"/>
        <w:szCs w:val="18"/>
      </w:rPr>
      <w:pict>
        <v:shape id="_x0000_s2049" o:spid="_x0000_s2049" o:spt="202" type="#_x0000_t202" style="position:absolute;left:0pt;margin-top:0pt;height:11.65pt;width:9.05pt;mso-position-horizontal:center;mso-position-horizontal-relative:margin;mso-wrap-style:none;z-index:251659264;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ulvw/RAAAAAwEAAA8AAAAAAAAAAQAgAAAAIgAA&#10;AGRycy9kb3ducmV2LnhtbFBLAQIUABQAAAAIAIdO4kBmJfqZDwIAABAEAAAOAAAAAAAAAAEAIAAA&#10;ACABAABkcnMvZTJvRG9jLnhtbFBLBQYAAAAABgAGAFkBAAChBQAAAAA=&#10;">
          <v:path/>
          <v:fill on="f" focussize="0,0"/>
          <v:stroke on="f" joinstyle="miter"/>
          <v:imagedata o:title=""/>
          <o:lock v:ext="edit"/>
          <v:textbox inset="0mm,0mm,0mm,0mm" style="mso-fit-shape-to-text:t;">
            <w:txbxContent>
              <w:p w14:paraId="5B075E61">
                <w:pPr>
                  <w:snapToGrid w:val="0"/>
                  <w:rPr>
                    <w:rFonts w:ascii="仿宋_GB2312" w:hAnsi="Times New Roman" w:eastAsia="仿宋_GB2312" w:cs="Times New Roman"/>
                    <w:sz w:val="18"/>
                  </w:rPr>
                </w:pPr>
                <w:r>
                  <w:rPr>
                    <w:rFonts w:hint="eastAsia" w:ascii="仿宋_GB2312" w:hAnsi="Times New Roman" w:eastAsia="仿宋_GB2312" w:cs="Times New Roman"/>
                    <w:sz w:val="18"/>
                  </w:rPr>
                  <w:fldChar w:fldCharType="begin"/>
                </w:r>
                <w:r>
                  <w:rPr>
                    <w:rFonts w:hint="eastAsia" w:ascii="仿宋_GB2312" w:hAnsi="Times New Roman" w:eastAsia="仿宋_GB2312" w:cs="Times New Roman"/>
                    <w:sz w:val="18"/>
                  </w:rPr>
                  <w:instrText xml:space="preserve"> PAGE  \* MERGEFORMAT </w:instrText>
                </w:r>
                <w:r>
                  <w:rPr>
                    <w:rFonts w:hint="eastAsia" w:ascii="仿宋_GB2312" w:hAnsi="Times New Roman" w:eastAsia="仿宋_GB2312" w:cs="Times New Roman"/>
                    <w:sz w:val="18"/>
                  </w:rPr>
                  <w:fldChar w:fldCharType="separate"/>
                </w:r>
                <w:r>
                  <w:rPr>
                    <w:rFonts w:ascii="仿宋_GB2312" w:hAnsi="Times New Roman" w:eastAsia="仿宋_GB2312" w:cs="Times New Roman"/>
                    <w:sz w:val="18"/>
                  </w:rPr>
                  <w:t>27</w:t>
                </w:r>
                <w:r>
                  <w:rPr>
                    <w:rFonts w:hint="eastAsia" w:ascii="仿宋_GB2312" w:hAnsi="Times New Roman" w:eastAsia="仿宋_GB2312" w:cs="Times New Roman"/>
                    <w:sz w:val="18"/>
                  </w:rPr>
                  <w:fldChar w:fldCharType="end"/>
                </w:r>
              </w:p>
            </w:txbxContent>
          </v:textbox>
        </v:shape>
      </w:pict>
    </w:r>
    <w:r>
      <w:rPr>
        <w:rFonts w:ascii="仿宋_GB2312" w:hAnsi="Calibri" w:eastAsia="仿宋_GB2312" w:cs="Times New Roman"/>
        <w:sz w:val="18"/>
        <w:szCs w:val="18"/>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E1B07A">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D25414">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C69E2C">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F43184"/>
    <w:multiLevelType w:val="singleLevel"/>
    <w:tmpl w:val="A8F43184"/>
    <w:lvl w:ilvl="0" w:tentative="0">
      <w:start w:val="1"/>
      <w:numFmt w:val="chineseCounting"/>
      <w:suff w:val="nothing"/>
      <w:lvlText w:val="%1、"/>
      <w:lvlJc w:val="left"/>
      <w:rPr>
        <w:rFonts w:hint="eastAsia"/>
      </w:rPr>
    </w:lvl>
  </w:abstractNum>
  <w:abstractNum w:abstractNumId="1">
    <w:nsid w:val="1D3C0261"/>
    <w:multiLevelType w:val="singleLevel"/>
    <w:tmpl w:val="1D3C0261"/>
    <w:lvl w:ilvl="0" w:tentative="0">
      <w:start w:val="1"/>
      <w:numFmt w:val="chineseCounting"/>
      <w:suff w:val="nothing"/>
      <w:lvlText w:val="%1、"/>
      <w:lvlJc w:val="left"/>
      <w:rPr>
        <w:rFonts w:hint="eastAsia"/>
      </w:rPr>
    </w:lvl>
  </w:abstractNum>
  <w:abstractNum w:abstractNumId="2">
    <w:nsid w:val="1E8DE698"/>
    <w:multiLevelType w:val="singleLevel"/>
    <w:tmpl w:val="1E8DE698"/>
    <w:lvl w:ilvl="0" w:tentative="0">
      <w:start w:val="1"/>
      <w:numFmt w:val="chineseCounting"/>
      <w:suff w:val="nothing"/>
      <w:lvlText w:val="%1、"/>
      <w:lvlJc w:val="left"/>
      <w:rPr>
        <w:rFonts w:hint="eastAsia" w:ascii="宋体" w:hAnsi="宋体" w:eastAsia="宋体" w:cs="宋体"/>
        <w:b/>
        <w:bCs/>
        <w:sz w:val="24"/>
        <w:szCs w:val="24"/>
      </w:rPr>
    </w:lvl>
  </w:abstractNum>
  <w:abstractNum w:abstractNumId="3">
    <w:nsid w:val="6BAC26DB"/>
    <w:multiLevelType w:val="singleLevel"/>
    <w:tmpl w:val="6BAC26DB"/>
    <w:lvl w:ilvl="0" w:tentative="0">
      <w:start w:val="1"/>
      <w:numFmt w:val="decimal"/>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210"/>
  <w:drawingGridVerticalSpacing w:val="158"/>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GMyM2QyOWNlODQ1YTdjYzg5MzQ2Y2U5NzQ4MWJiOWQifQ=="/>
  </w:docVars>
  <w:rsids>
    <w:rsidRoot w:val="6EDB6AE2"/>
    <w:rsid w:val="00073C0C"/>
    <w:rsid w:val="00074DA8"/>
    <w:rsid w:val="00141169"/>
    <w:rsid w:val="002632C8"/>
    <w:rsid w:val="00264799"/>
    <w:rsid w:val="002B53B8"/>
    <w:rsid w:val="002F4BBB"/>
    <w:rsid w:val="00411A0E"/>
    <w:rsid w:val="00425BC0"/>
    <w:rsid w:val="00484466"/>
    <w:rsid w:val="004A50B7"/>
    <w:rsid w:val="005D0FFE"/>
    <w:rsid w:val="0080251E"/>
    <w:rsid w:val="008E44E8"/>
    <w:rsid w:val="00AE1B7A"/>
    <w:rsid w:val="00B664CC"/>
    <w:rsid w:val="00BF0E2A"/>
    <w:rsid w:val="00C04C98"/>
    <w:rsid w:val="00E04306"/>
    <w:rsid w:val="00EF7472"/>
    <w:rsid w:val="00F26064"/>
    <w:rsid w:val="00F3325A"/>
    <w:rsid w:val="00FB537B"/>
    <w:rsid w:val="00FD1FB2"/>
    <w:rsid w:val="016A347B"/>
    <w:rsid w:val="022B1413"/>
    <w:rsid w:val="025179BA"/>
    <w:rsid w:val="0257598A"/>
    <w:rsid w:val="029F039A"/>
    <w:rsid w:val="02E3341B"/>
    <w:rsid w:val="02E66FBD"/>
    <w:rsid w:val="02ED4364"/>
    <w:rsid w:val="02F2197A"/>
    <w:rsid w:val="035241C7"/>
    <w:rsid w:val="03F139E0"/>
    <w:rsid w:val="03F31506"/>
    <w:rsid w:val="042D3D65"/>
    <w:rsid w:val="044B6DCB"/>
    <w:rsid w:val="04A17FBB"/>
    <w:rsid w:val="05066B4B"/>
    <w:rsid w:val="07820F75"/>
    <w:rsid w:val="07EA0E72"/>
    <w:rsid w:val="088017D6"/>
    <w:rsid w:val="09095327"/>
    <w:rsid w:val="09341A9E"/>
    <w:rsid w:val="0962293F"/>
    <w:rsid w:val="09D9119E"/>
    <w:rsid w:val="0A140428"/>
    <w:rsid w:val="0AD83AC6"/>
    <w:rsid w:val="0C3C77C2"/>
    <w:rsid w:val="0CB437FC"/>
    <w:rsid w:val="0DC83553"/>
    <w:rsid w:val="0DD028B8"/>
    <w:rsid w:val="0E8F4521"/>
    <w:rsid w:val="0E945864"/>
    <w:rsid w:val="0EBB70C4"/>
    <w:rsid w:val="0F3550C8"/>
    <w:rsid w:val="0FC46EA3"/>
    <w:rsid w:val="0FF22291"/>
    <w:rsid w:val="0FFF4F13"/>
    <w:rsid w:val="101D790A"/>
    <w:rsid w:val="1055163A"/>
    <w:rsid w:val="11242DF5"/>
    <w:rsid w:val="112C593C"/>
    <w:rsid w:val="119C6247"/>
    <w:rsid w:val="11B5429E"/>
    <w:rsid w:val="128B2877"/>
    <w:rsid w:val="13573354"/>
    <w:rsid w:val="141348F8"/>
    <w:rsid w:val="14151024"/>
    <w:rsid w:val="142739AB"/>
    <w:rsid w:val="145F04F1"/>
    <w:rsid w:val="14C60571"/>
    <w:rsid w:val="16510BF8"/>
    <w:rsid w:val="168E3310"/>
    <w:rsid w:val="170A0BE8"/>
    <w:rsid w:val="170D2487"/>
    <w:rsid w:val="17397720"/>
    <w:rsid w:val="189B61E4"/>
    <w:rsid w:val="18BC10DA"/>
    <w:rsid w:val="1917583F"/>
    <w:rsid w:val="19B874E6"/>
    <w:rsid w:val="1A720AEE"/>
    <w:rsid w:val="1A954C6D"/>
    <w:rsid w:val="1B7E3A6F"/>
    <w:rsid w:val="1BE16B4B"/>
    <w:rsid w:val="1C6F24E2"/>
    <w:rsid w:val="1C907DE2"/>
    <w:rsid w:val="1C9D605B"/>
    <w:rsid w:val="1CEE68B6"/>
    <w:rsid w:val="1DA13929"/>
    <w:rsid w:val="1DD71A40"/>
    <w:rsid w:val="1E026ABD"/>
    <w:rsid w:val="1EB51737"/>
    <w:rsid w:val="1F6244B2"/>
    <w:rsid w:val="1F6D7F66"/>
    <w:rsid w:val="1F8F2C28"/>
    <w:rsid w:val="201D476F"/>
    <w:rsid w:val="203171E6"/>
    <w:rsid w:val="20803CC9"/>
    <w:rsid w:val="20893CDB"/>
    <w:rsid w:val="209E6A67"/>
    <w:rsid w:val="211803A6"/>
    <w:rsid w:val="217355DC"/>
    <w:rsid w:val="21A32365"/>
    <w:rsid w:val="22071DB9"/>
    <w:rsid w:val="22A36827"/>
    <w:rsid w:val="23636EA1"/>
    <w:rsid w:val="23E65186"/>
    <w:rsid w:val="24374FE7"/>
    <w:rsid w:val="243A027A"/>
    <w:rsid w:val="24765B0F"/>
    <w:rsid w:val="24881D2D"/>
    <w:rsid w:val="24A26904"/>
    <w:rsid w:val="25DC5E46"/>
    <w:rsid w:val="25F403A5"/>
    <w:rsid w:val="262E1D4D"/>
    <w:rsid w:val="277F5534"/>
    <w:rsid w:val="27842A7A"/>
    <w:rsid w:val="28212236"/>
    <w:rsid w:val="29581C87"/>
    <w:rsid w:val="29693E94"/>
    <w:rsid w:val="296C2E8C"/>
    <w:rsid w:val="29A5770C"/>
    <w:rsid w:val="29EF3C6E"/>
    <w:rsid w:val="2A2D4934"/>
    <w:rsid w:val="2A497953"/>
    <w:rsid w:val="2BE87373"/>
    <w:rsid w:val="2C6C370D"/>
    <w:rsid w:val="2DBF0527"/>
    <w:rsid w:val="2DE53D06"/>
    <w:rsid w:val="2E701821"/>
    <w:rsid w:val="2F611C76"/>
    <w:rsid w:val="2FF124EE"/>
    <w:rsid w:val="302B327D"/>
    <w:rsid w:val="30F71D86"/>
    <w:rsid w:val="318D6246"/>
    <w:rsid w:val="32A23F73"/>
    <w:rsid w:val="33095248"/>
    <w:rsid w:val="332E1DFE"/>
    <w:rsid w:val="339613FE"/>
    <w:rsid w:val="35D71366"/>
    <w:rsid w:val="3757357E"/>
    <w:rsid w:val="38596F16"/>
    <w:rsid w:val="38E86458"/>
    <w:rsid w:val="3902576C"/>
    <w:rsid w:val="390457DD"/>
    <w:rsid w:val="395835DE"/>
    <w:rsid w:val="39D54D65"/>
    <w:rsid w:val="3A23599A"/>
    <w:rsid w:val="3A5835DF"/>
    <w:rsid w:val="3B292616"/>
    <w:rsid w:val="3B8D6CB0"/>
    <w:rsid w:val="3BF52D0E"/>
    <w:rsid w:val="3C096E11"/>
    <w:rsid w:val="3C0D7E40"/>
    <w:rsid w:val="3CBC3E83"/>
    <w:rsid w:val="3CC1358A"/>
    <w:rsid w:val="3D0575D8"/>
    <w:rsid w:val="3D934BE4"/>
    <w:rsid w:val="3D9646D4"/>
    <w:rsid w:val="3DC56B27"/>
    <w:rsid w:val="3E6B3DB3"/>
    <w:rsid w:val="3E8F54E1"/>
    <w:rsid w:val="3ECB78C6"/>
    <w:rsid w:val="3F0F0517"/>
    <w:rsid w:val="3F903830"/>
    <w:rsid w:val="40361C2C"/>
    <w:rsid w:val="406E36E7"/>
    <w:rsid w:val="407C4056"/>
    <w:rsid w:val="41FA46E1"/>
    <w:rsid w:val="42075BA1"/>
    <w:rsid w:val="42907F08"/>
    <w:rsid w:val="433B1FA6"/>
    <w:rsid w:val="43632F12"/>
    <w:rsid w:val="43E50164"/>
    <w:rsid w:val="44380293"/>
    <w:rsid w:val="44C814FE"/>
    <w:rsid w:val="458C5BFA"/>
    <w:rsid w:val="463C33B6"/>
    <w:rsid w:val="4645313C"/>
    <w:rsid w:val="47071753"/>
    <w:rsid w:val="476D64A6"/>
    <w:rsid w:val="47833F1C"/>
    <w:rsid w:val="479C4FDD"/>
    <w:rsid w:val="47F46BC7"/>
    <w:rsid w:val="487E491C"/>
    <w:rsid w:val="48E86D71"/>
    <w:rsid w:val="49100A56"/>
    <w:rsid w:val="4AC54443"/>
    <w:rsid w:val="4B076C12"/>
    <w:rsid w:val="4B0E4A28"/>
    <w:rsid w:val="4B181158"/>
    <w:rsid w:val="4B3F0159"/>
    <w:rsid w:val="4B9530C4"/>
    <w:rsid w:val="4C8055C4"/>
    <w:rsid w:val="4C950778"/>
    <w:rsid w:val="4CB0382E"/>
    <w:rsid w:val="4CE72F2B"/>
    <w:rsid w:val="4CFA4C80"/>
    <w:rsid w:val="4D825C2E"/>
    <w:rsid w:val="4D9C7C8B"/>
    <w:rsid w:val="4DB669DA"/>
    <w:rsid w:val="4E5464D1"/>
    <w:rsid w:val="4F7921FC"/>
    <w:rsid w:val="4FC9093A"/>
    <w:rsid w:val="5003644E"/>
    <w:rsid w:val="50546455"/>
    <w:rsid w:val="50FD3D3E"/>
    <w:rsid w:val="517E430A"/>
    <w:rsid w:val="51B20F46"/>
    <w:rsid w:val="523429E2"/>
    <w:rsid w:val="52BB2633"/>
    <w:rsid w:val="533B2FA2"/>
    <w:rsid w:val="53513D1E"/>
    <w:rsid w:val="549537A4"/>
    <w:rsid w:val="54E904F5"/>
    <w:rsid w:val="55FF74F3"/>
    <w:rsid w:val="56002CAA"/>
    <w:rsid w:val="56883D6D"/>
    <w:rsid w:val="568D0913"/>
    <w:rsid w:val="56A34824"/>
    <w:rsid w:val="56AB2D7B"/>
    <w:rsid w:val="56AE6F7A"/>
    <w:rsid w:val="56F90CEB"/>
    <w:rsid w:val="57882178"/>
    <w:rsid w:val="57D83E10"/>
    <w:rsid w:val="58311772"/>
    <w:rsid w:val="58BD4DB3"/>
    <w:rsid w:val="59701E26"/>
    <w:rsid w:val="59FA62BF"/>
    <w:rsid w:val="5A735109"/>
    <w:rsid w:val="5AB75F5E"/>
    <w:rsid w:val="5AC558ED"/>
    <w:rsid w:val="5B89084D"/>
    <w:rsid w:val="5BAA161F"/>
    <w:rsid w:val="5BC00E43"/>
    <w:rsid w:val="5C877481"/>
    <w:rsid w:val="5D3D64C3"/>
    <w:rsid w:val="5DAD3C44"/>
    <w:rsid w:val="5E437E22"/>
    <w:rsid w:val="5E714676"/>
    <w:rsid w:val="5EF70A55"/>
    <w:rsid w:val="5F887941"/>
    <w:rsid w:val="600F2399"/>
    <w:rsid w:val="60EA6464"/>
    <w:rsid w:val="611F3F82"/>
    <w:rsid w:val="61B2122D"/>
    <w:rsid w:val="61DF3FED"/>
    <w:rsid w:val="62136F60"/>
    <w:rsid w:val="635308ED"/>
    <w:rsid w:val="63604CB9"/>
    <w:rsid w:val="638E7A78"/>
    <w:rsid w:val="63A7476C"/>
    <w:rsid w:val="63E36016"/>
    <w:rsid w:val="644F5459"/>
    <w:rsid w:val="64754794"/>
    <w:rsid w:val="65385EEE"/>
    <w:rsid w:val="65AF4A62"/>
    <w:rsid w:val="65EC10C6"/>
    <w:rsid w:val="664D7777"/>
    <w:rsid w:val="665C0351"/>
    <w:rsid w:val="66B60EF2"/>
    <w:rsid w:val="66C56152"/>
    <w:rsid w:val="66F978FF"/>
    <w:rsid w:val="675D77EA"/>
    <w:rsid w:val="68EF2D67"/>
    <w:rsid w:val="69124CA8"/>
    <w:rsid w:val="69C77840"/>
    <w:rsid w:val="6B4C1B30"/>
    <w:rsid w:val="6B67752D"/>
    <w:rsid w:val="6C5F0204"/>
    <w:rsid w:val="6CA4030D"/>
    <w:rsid w:val="6D2D3E5E"/>
    <w:rsid w:val="6D5D0BE7"/>
    <w:rsid w:val="6DA31DF0"/>
    <w:rsid w:val="6DEF1638"/>
    <w:rsid w:val="6DFF5B12"/>
    <w:rsid w:val="6E526272"/>
    <w:rsid w:val="6EDB6AE2"/>
    <w:rsid w:val="6F335A1C"/>
    <w:rsid w:val="6F754A3C"/>
    <w:rsid w:val="7002625E"/>
    <w:rsid w:val="70271BB7"/>
    <w:rsid w:val="7040644A"/>
    <w:rsid w:val="70BB79D3"/>
    <w:rsid w:val="718627B6"/>
    <w:rsid w:val="72C85CEC"/>
    <w:rsid w:val="72DE6B3F"/>
    <w:rsid w:val="731019CA"/>
    <w:rsid w:val="7349576A"/>
    <w:rsid w:val="7419513C"/>
    <w:rsid w:val="74511EEF"/>
    <w:rsid w:val="75B74C0D"/>
    <w:rsid w:val="75BA64AB"/>
    <w:rsid w:val="75C94940"/>
    <w:rsid w:val="76345069"/>
    <w:rsid w:val="76963C93"/>
    <w:rsid w:val="77021825"/>
    <w:rsid w:val="774B3C01"/>
    <w:rsid w:val="79684983"/>
    <w:rsid w:val="799E6DA5"/>
    <w:rsid w:val="7A087776"/>
    <w:rsid w:val="7A101646"/>
    <w:rsid w:val="7A6D1D3E"/>
    <w:rsid w:val="7AF977EE"/>
    <w:rsid w:val="7B043974"/>
    <w:rsid w:val="7B1C79A7"/>
    <w:rsid w:val="7BB10350"/>
    <w:rsid w:val="7BFE1DCD"/>
    <w:rsid w:val="7C325281"/>
    <w:rsid w:val="7C457B4B"/>
    <w:rsid w:val="7C5036C5"/>
    <w:rsid w:val="7C611D76"/>
    <w:rsid w:val="7D9615AC"/>
    <w:rsid w:val="7E9C52E7"/>
    <w:rsid w:val="7F6C2F0C"/>
    <w:rsid w:val="7FA43759"/>
    <w:rsid w:val="7FB429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qFormat/>
    <w:uiPriority w:val="0"/>
    <w:pPr>
      <w:widowControl w:val="0"/>
      <w:spacing w:after="120"/>
      <w:jc w:val="both"/>
    </w:pPr>
    <w:rPr>
      <w:rFonts w:ascii="Times New Roman" w:hAnsi="Times New Roman" w:eastAsia="宋体" w:cs="Times New Roman"/>
      <w:kern w:val="0"/>
      <w:sz w:val="20"/>
      <w:szCs w:val="24"/>
      <w:lang w:val="en-US" w:eastAsia="zh-CN" w:bidi="ar-SA"/>
    </w:rPr>
  </w:style>
  <w:style w:type="paragraph" w:styleId="3">
    <w:name w:val="footer"/>
    <w:basedOn w:val="1"/>
    <w:link w:val="18"/>
    <w:qFormat/>
    <w:uiPriority w:val="0"/>
    <w:pPr>
      <w:tabs>
        <w:tab w:val="center" w:pos="4153"/>
        <w:tab w:val="right" w:pos="8306"/>
      </w:tabs>
      <w:snapToGrid w:val="0"/>
      <w:jc w:val="left"/>
    </w:pPr>
    <w:rPr>
      <w:sz w:val="18"/>
      <w:szCs w:val="18"/>
    </w:rPr>
  </w:style>
  <w:style w:type="paragraph" w:styleId="4">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6">
    <w:name w:val="Normal (Web)"/>
    <w:basedOn w:val="1"/>
    <w:qFormat/>
    <w:uiPriority w:val="0"/>
    <w:rPr>
      <w:sz w:val="24"/>
    </w:rPr>
  </w:style>
  <w:style w:type="paragraph" w:styleId="7">
    <w:name w:val="Body Text First Indent"/>
    <w:qFormat/>
    <w:uiPriority w:val="0"/>
    <w:pPr>
      <w:widowControl w:val="0"/>
      <w:autoSpaceDE w:val="0"/>
      <w:autoSpaceDN w:val="0"/>
      <w:adjustRightInd w:val="0"/>
      <w:spacing w:before="72" w:after="48" w:line="306" w:lineRule="exact"/>
      <w:ind w:firstLine="454" w:firstLineChars="200"/>
      <w:jc w:val="left"/>
    </w:pPr>
    <w:rPr>
      <w:rFonts w:ascii="Times New Roman" w:hAnsi="Times New Roman" w:eastAsia="宋体" w:cs="Times New Roman"/>
      <w:kern w:val="0"/>
      <w:sz w:val="24"/>
      <w:szCs w:val="24"/>
      <w:lang w:val="en-US" w:eastAsia="zh-CN" w:bidi="ar-SA"/>
    </w:rPr>
  </w:style>
  <w:style w:type="character" w:styleId="10">
    <w:name w:val="Strong"/>
    <w:basedOn w:val="9"/>
    <w:qFormat/>
    <w:uiPriority w:val="0"/>
    <w:rPr>
      <w:b/>
    </w:rPr>
  </w:style>
  <w:style w:type="character" w:customStyle="1" w:styleId="11">
    <w:name w:val="font61"/>
    <w:basedOn w:val="9"/>
    <w:qFormat/>
    <w:uiPriority w:val="0"/>
    <w:rPr>
      <w:rFonts w:hint="eastAsia" w:ascii="微软雅黑" w:hAnsi="微软雅黑" w:eastAsia="微软雅黑" w:cs="微软雅黑"/>
      <w:color w:val="FF0000"/>
      <w:sz w:val="22"/>
      <w:szCs w:val="22"/>
      <w:u w:val="none"/>
    </w:rPr>
  </w:style>
  <w:style w:type="character" w:customStyle="1" w:styleId="12">
    <w:name w:val="font41"/>
    <w:basedOn w:val="9"/>
    <w:qFormat/>
    <w:uiPriority w:val="0"/>
    <w:rPr>
      <w:rFonts w:hint="eastAsia" w:ascii="微软雅黑" w:hAnsi="微软雅黑" w:eastAsia="微软雅黑" w:cs="微软雅黑"/>
      <w:color w:val="000000"/>
      <w:sz w:val="22"/>
      <w:szCs w:val="22"/>
      <w:u w:val="none"/>
    </w:rPr>
  </w:style>
  <w:style w:type="character" w:customStyle="1" w:styleId="13">
    <w:name w:val="font71"/>
    <w:basedOn w:val="9"/>
    <w:qFormat/>
    <w:uiPriority w:val="0"/>
    <w:rPr>
      <w:rFonts w:hint="default" w:ascii="Times New Roman" w:hAnsi="Times New Roman" w:cs="Times New Roman"/>
      <w:color w:val="000000"/>
      <w:sz w:val="22"/>
      <w:szCs w:val="22"/>
      <w:u w:val="none"/>
    </w:rPr>
  </w:style>
  <w:style w:type="character" w:customStyle="1" w:styleId="14">
    <w:name w:val="font81"/>
    <w:basedOn w:val="9"/>
    <w:qFormat/>
    <w:uiPriority w:val="0"/>
    <w:rPr>
      <w:rFonts w:hint="eastAsia" w:ascii="宋体" w:hAnsi="宋体" w:eastAsia="宋体" w:cs="宋体"/>
      <w:color w:val="FF0000"/>
      <w:sz w:val="22"/>
      <w:szCs w:val="22"/>
      <w:u w:val="none"/>
    </w:rPr>
  </w:style>
  <w:style w:type="character" w:customStyle="1" w:styleId="15">
    <w:name w:val="font51"/>
    <w:basedOn w:val="9"/>
    <w:qFormat/>
    <w:uiPriority w:val="0"/>
    <w:rPr>
      <w:rFonts w:hint="eastAsia" w:ascii="微软雅黑" w:hAnsi="微软雅黑" w:eastAsia="微软雅黑" w:cs="微软雅黑"/>
      <w:color w:val="000000"/>
      <w:sz w:val="22"/>
      <w:szCs w:val="22"/>
      <w:u w:val="none"/>
    </w:rPr>
  </w:style>
  <w:style w:type="character" w:customStyle="1" w:styleId="16">
    <w:name w:val="font91"/>
    <w:basedOn w:val="9"/>
    <w:qFormat/>
    <w:uiPriority w:val="0"/>
    <w:rPr>
      <w:rFonts w:hint="eastAsia" w:ascii="宋体" w:hAnsi="宋体" w:eastAsia="宋体" w:cs="宋体"/>
      <w:color w:val="FF0000"/>
      <w:sz w:val="22"/>
      <w:szCs w:val="22"/>
      <w:u w:val="none"/>
    </w:rPr>
  </w:style>
  <w:style w:type="character" w:customStyle="1" w:styleId="17">
    <w:name w:val="页眉 Char"/>
    <w:basedOn w:val="9"/>
    <w:link w:val="4"/>
    <w:qFormat/>
    <w:uiPriority w:val="0"/>
    <w:rPr>
      <w:rFonts w:asciiTheme="minorHAnsi" w:hAnsiTheme="minorHAnsi" w:eastAsiaTheme="minorEastAsia" w:cstheme="minorBidi"/>
      <w:kern w:val="2"/>
      <w:sz w:val="18"/>
      <w:szCs w:val="18"/>
    </w:rPr>
  </w:style>
  <w:style w:type="character" w:customStyle="1" w:styleId="18">
    <w:name w:val="页脚 Char"/>
    <w:basedOn w:val="9"/>
    <w:link w:val="3"/>
    <w:qFormat/>
    <w:uiPriority w:val="0"/>
    <w:rPr>
      <w:rFonts w:asciiTheme="minorHAnsi" w:hAnsiTheme="minorHAnsi" w:eastAsiaTheme="minorEastAsia" w:cstheme="minorBidi"/>
      <w:kern w:val="2"/>
      <w:sz w:val="18"/>
      <w:szCs w:val="18"/>
    </w:rPr>
  </w:style>
  <w:style w:type="character" w:customStyle="1" w:styleId="19">
    <w:name w:val="font11"/>
    <w:basedOn w:val="9"/>
    <w:qFormat/>
    <w:uiPriority w:val="0"/>
    <w:rPr>
      <w:rFonts w:hint="eastAsia" w:ascii="宋体" w:hAnsi="宋体" w:eastAsia="宋体" w:cs="宋体"/>
      <w:color w:val="000000"/>
      <w:sz w:val="20"/>
      <w:szCs w:val="20"/>
      <w:u w:val="none"/>
    </w:rPr>
  </w:style>
  <w:style w:type="character" w:customStyle="1" w:styleId="20">
    <w:name w:val="font101"/>
    <w:basedOn w:val="9"/>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0"/>
    <customShpInfo spid="_x0000_s2051"/>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37</Pages>
  <Words>17431</Words>
  <Characters>19846</Characters>
  <Lines>66</Lines>
  <Paragraphs>18</Paragraphs>
  <TotalTime>25</TotalTime>
  <ScaleCrop>false</ScaleCrop>
  <LinksUpToDate>false</LinksUpToDate>
  <CharactersWithSpaces>20310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2024-07-22T03:09:00Z</dcterms:created>
  <dc:creator>123456</dc:creator>
  <cp:lastModifiedBy>Administrator</cp:lastModifiedBy>
  <cp:lastPrinted>2025-05-21T02:56:00Z</cp:lastPrinted>
  <dcterms:modified xsi:type="dcterms:W3CDTF">2025-08-25T02:45:26Z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F33662B3CC0D4F9C8D15C1010DC24016_13</vt:lpwstr>
  </property>
</Properties>
</file>